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7BC76" w14:textId="134C0787" w:rsidR="004A6FF0" w:rsidRPr="00734717" w:rsidRDefault="00E91D67" w:rsidP="00734717">
      <w:pPr>
        <w:spacing w:after="120" w:line="252" w:lineRule="auto"/>
        <w:rPr>
          <w:rFonts w:ascii="Calibri Light" w:hAnsi="Calibri Light"/>
          <w:color w:val="262626" w:themeColor="text1" w:themeTint="D9"/>
          <w:sz w:val="27"/>
          <w:szCs w:val="27"/>
        </w:rPr>
      </w:pPr>
      <w:bookmarkStart w:id="0" w:name="_GoBack"/>
      <w:bookmarkEnd w:id="0"/>
      <w:r w:rsidRPr="00734717">
        <w:rPr>
          <w:rFonts w:ascii="Calibri Light" w:hAnsi="Calibri Light"/>
          <w:color w:val="262626" w:themeColor="text1" w:themeTint="D9"/>
          <w:sz w:val="27"/>
          <w:szCs w:val="27"/>
        </w:rPr>
        <w:t xml:space="preserve">The Government </w:t>
      </w:r>
      <w:r w:rsidR="007E5DC1" w:rsidRPr="00734717">
        <w:rPr>
          <w:rFonts w:ascii="Calibri Light" w:hAnsi="Calibri Light"/>
          <w:color w:val="262626" w:themeColor="text1" w:themeTint="D9"/>
          <w:sz w:val="27"/>
          <w:szCs w:val="27"/>
        </w:rPr>
        <w:t xml:space="preserve">is </w:t>
      </w:r>
      <w:r w:rsidR="004A6FF0" w:rsidRPr="00734717">
        <w:rPr>
          <w:rFonts w:ascii="Calibri Light" w:hAnsi="Calibri Light"/>
          <w:color w:val="262626" w:themeColor="text1" w:themeTint="D9"/>
          <w:sz w:val="27"/>
          <w:szCs w:val="27"/>
        </w:rPr>
        <w:t>reducing barriers for older Australians to downsize from homes that no longer meet their needs by allowing them to contribute some of the proceeds of selling their homes into superannuation.</w:t>
      </w:r>
    </w:p>
    <w:p w14:paraId="02E86012" w14:textId="12424F8B" w:rsidR="007E5DC1" w:rsidRPr="00734717" w:rsidRDefault="004A6FF0" w:rsidP="00734717">
      <w:pPr>
        <w:spacing w:after="120" w:line="252" w:lineRule="auto"/>
        <w:rPr>
          <w:rFonts w:ascii="Calibri Light" w:hAnsi="Calibri Light"/>
          <w:color w:val="262626" w:themeColor="text1" w:themeTint="D9"/>
          <w:sz w:val="27"/>
          <w:szCs w:val="27"/>
        </w:rPr>
      </w:pPr>
      <w:r w:rsidRPr="00734717">
        <w:rPr>
          <w:rFonts w:ascii="Calibri Light" w:hAnsi="Calibri Light"/>
          <w:color w:val="262626" w:themeColor="text1" w:themeTint="D9"/>
          <w:sz w:val="27"/>
          <w:szCs w:val="27"/>
        </w:rPr>
        <w:t>From 1 July 2018, people aged 65 and over will be able to make a non</w:t>
      </w:r>
      <w:r w:rsidRPr="00734717">
        <w:rPr>
          <w:rFonts w:ascii="Calibri Light" w:hAnsi="Calibri Light"/>
          <w:color w:val="262626" w:themeColor="text1" w:themeTint="D9"/>
          <w:sz w:val="27"/>
          <w:szCs w:val="27"/>
        </w:rPr>
        <w:noBreakHyphen/>
        <w:t>concessional (post</w:t>
      </w:r>
      <w:r w:rsidRPr="00734717">
        <w:rPr>
          <w:rFonts w:ascii="Calibri Light" w:hAnsi="Calibri Light"/>
          <w:color w:val="262626" w:themeColor="text1" w:themeTint="D9"/>
          <w:sz w:val="27"/>
          <w:szCs w:val="27"/>
        </w:rPr>
        <w:noBreakHyphen/>
        <w:t xml:space="preserve">tax) contribution into their superannuation of up to $300,000 from the proceeds of selling their home. Existing contribution </w:t>
      </w:r>
      <w:r w:rsidR="00F30A5A" w:rsidRPr="00734717">
        <w:rPr>
          <w:rFonts w:ascii="Calibri Light" w:hAnsi="Calibri Light"/>
          <w:color w:val="262626" w:themeColor="text1" w:themeTint="D9"/>
          <w:sz w:val="27"/>
          <w:szCs w:val="27"/>
        </w:rPr>
        <w:t xml:space="preserve">caps and </w:t>
      </w:r>
      <w:r w:rsidR="00F115F4" w:rsidRPr="00734717">
        <w:rPr>
          <w:rFonts w:ascii="Calibri Light" w:hAnsi="Calibri Light"/>
          <w:color w:val="262626" w:themeColor="text1" w:themeTint="D9"/>
          <w:sz w:val="27"/>
          <w:szCs w:val="27"/>
        </w:rPr>
        <w:t>restrictions</w:t>
      </w:r>
      <w:r w:rsidRPr="00734717">
        <w:rPr>
          <w:rFonts w:ascii="Calibri Light" w:hAnsi="Calibri Light"/>
          <w:color w:val="262626" w:themeColor="text1" w:themeTint="D9"/>
          <w:sz w:val="27"/>
          <w:szCs w:val="27"/>
        </w:rPr>
        <w:t xml:space="preserve"> will not apply to this </w:t>
      </w:r>
      <w:r w:rsidR="00F30A5A" w:rsidRPr="00734717">
        <w:rPr>
          <w:rFonts w:ascii="Calibri Light" w:hAnsi="Calibri Light"/>
          <w:color w:val="262626" w:themeColor="text1" w:themeTint="D9"/>
          <w:sz w:val="27"/>
          <w:szCs w:val="27"/>
        </w:rPr>
        <w:t xml:space="preserve">downsizer </w:t>
      </w:r>
      <w:r w:rsidRPr="00734717">
        <w:rPr>
          <w:rFonts w:ascii="Calibri Light" w:hAnsi="Calibri Light"/>
          <w:color w:val="262626" w:themeColor="text1" w:themeTint="D9"/>
          <w:sz w:val="27"/>
          <w:szCs w:val="27"/>
        </w:rPr>
        <w:t>contribution</w:t>
      </w:r>
      <w:r w:rsidR="00F30A5A" w:rsidRPr="00734717">
        <w:rPr>
          <w:rFonts w:ascii="Calibri Light" w:hAnsi="Calibri Light"/>
          <w:color w:val="262626" w:themeColor="text1" w:themeTint="D9"/>
          <w:sz w:val="27"/>
          <w:szCs w:val="27"/>
        </w:rPr>
        <w:t xml:space="preserve"> at the time</w:t>
      </w:r>
      <w:r w:rsidRPr="00734717">
        <w:rPr>
          <w:rFonts w:ascii="Calibri Light" w:hAnsi="Calibri Light"/>
          <w:color w:val="262626" w:themeColor="text1" w:themeTint="D9"/>
          <w:sz w:val="27"/>
          <w:szCs w:val="27"/>
        </w:rPr>
        <w:t xml:space="preserve">, but the $1.6 million transfer balance cap </w:t>
      </w:r>
      <w:r w:rsidR="00F115F4" w:rsidRPr="00734717">
        <w:rPr>
          <w:rFonts w:ascii="Calibri Light" w:hAnsi="Calibri Light"/>
          <w:color w:val="262626" w:themeColor="text1" w:themeTint="D9"/>
          <w:sz w:val="27"/>
          <w:szCs w:val="27"/>
        </w:rPr>
        <w:t xml:space="preserve">and Age Pension means test </w:t>
      </w:r>
      <w:r w:rsidRPr="00734717">
        <w:rPr>
          <w:rFonts w:ascii="Calibri Light" w:hAnsi="Calibri Light"/>
          <w:color w:val="262626" w:themeColor="text1" w:themeTint="D9"/>
          <w:sz w:val="27"/>
          <w:szCs w:val="27"/>
        </w:rPr>
        <w:t>will continue to apply</w:t>
      </w:r>
      <w:r w:rsidR="00F30A5A" w:rsidRPr="00734717">
        <w:rPr>
          <w:rFonts w:ascii="Calibri Light" w:hAnsi="Calibri Light"/>
          <w:color w:val="262626" w:themeColor="text1" w:themeTint="D9"/>
          <w:sz w:val="27"/>
          <w:szCs w:val="27"/>
        </w:rPr>
        <w:t xml:space="preserve"> and it will count towards total superannuation balance tests in later years</w:t>
      </w:r>
      <w:r w:rsidRPr="00734717">
        <w:rPr>
          <w:rFonts w:ascii="Calibri Light" w:hAnsi="Calibri Light"/>
          <w:color w:val="262626" w:themeColor="text1" w:themeTint="D9"/>
          <w:sz w:val="27"/>
          <w:szCs w:val="27"/>
        </w:rPr>
        <w:t>. The measure will apply to homes held for a minimum of ten years, and both members of a couple may take advantage of it.</w:t>
      </w:r>
    </w:p>
    <w:p w14:paraId="6B39F013" w14:textId="7AEC75D8" w:rsidR="00A56998" w:rsidRPr="00734717" w:rsidRDefault="008D4E74" w:rsidP="00734717">
      <w:pPr>
        <w:spacing w:after="240" w:line="252" w:lineRule="auto"/>
        <w:rPr>
          <w:rFonts w:ascii="Calibri Light" w:hAnsi="Calibri Light"/>
          <w:color w:val="262626" w:themeColor="text1" w:themeTint="D9"/>
          <w:sz w:val="27"/>
          <w:szCs w:val="27"/>
        </w:rPr>
        <w:sectPr w:rsidR="00A56998" w:rsidRPr="00734717" w:rsidSect="00296985">
          <w:headerReference w:type="even" r:id="rId14"/>
          <w:headerReference w:type="default" r:id="rId15"/>
          <w:footerReference w:type="even" r:id="rId16"/>
          <w:footerReference w:type="default" r:id="rId17"/>
          <w:headerReference w:type="first" r:id="rId18"/>
          <w:footerReference w:type="first" r:id="rId19"/>
          <w:pgSz w:w="11906" w:h="16838" w:code="9"/>
          <w:pgMar w:top="2552" w:right="851" w:bottom="851" w:left="851" w:header="709" w:footer="709" w:gutter="0"/>
          <w:cols w:space="284"/>
          <w:docGrid w:linePitch="360"/>
        </w:sectPr>
      </w:pPr>
      <w:r w:rsidRPr="00734717">
        <w:rPr>
          <w:rFonts w:ascii="Calibri Light" w:hAnsi="Calibri Light"/>
          <w:color w:val="262626" w:themeColor="text1" w:themeTint="D9"/>
          <w:sz w:val="27"/>
          <w:szCs w:val="27"/>
        </w:rPr>
        <w:t>The Government has released consultation draft legislation to</w:t>
      </w:r>
      <w:r w:rsidR="004A6FF0" w:rsidRPr="00734717">
        <w:rPr>
          <w:rFonts w:ascii="Calibri Light" w:hAnsi="Calibri Light"/>
          <w:color w:val="262626" w:themeColor="text1" w:themeTint="D9"/>
          <w:sz w:val="27"/>
          <w:szCs w:val="27"/>
        </w:rPr>
        <w:t xml:space="preserve"> implement this</w:t>
      </w:r>
      <w:r w:rsidRPr="00734717">
        <w:rPr>
          <w:rFonts w:ascii="Calibri Light" w:hAnsi="Calibri Light"/>
          <w:color w:val="262626" w:themeColor="text1" w:themeTint="D9"/>
          <w:sz w:val="27"/>
          <w:szCs w:val="27"/>
        </w:rPr>
        <w:t xml:space="preserve"> </w:t>
      </w:r>
      <w:r w:rsidR="004A6FF0" w:rsidRPr="00734717">
        <w:rPr>
          <w:rFonts w:ascii="Calibri Light" w:hAnsi="Calibri Light"/>
          <w:color w:val="262626" w:themeColor="text1" w:themeTint="D9"/>
          <w:sz w:val="27"/>
          <w:szCs w:val="27"/>
        </w:rPr>
        <w:t>measure</w:t>
      </w:r>
      <w:r w:rsidRPr="00734717">
        <w:rPr>
          <w:rFonts w:ascii="Calibri Light" w:hAnsi="Calibri Light"/>
          <w:color w:val="262626" w:themeColor="text1" w:themeTint="D9"/>
          <w:sz w:val="27"/>
          <w:szCs w:val="27"/>
        </w:rPr>
        <w:t>.</w:t>
      </w:r>
    </w:p>
    <w:p w14:paraId="067EFF20" w14:textId="125D8761" w:rsidR="00A16C03" w:rsidRDefault="00A16C03" w:rsidP="008F074C">
      <w:pPr>
        <w:pStyle w:val="Heading1"/>
        <w:spacing w:before="0"/>
      </w:pPr>
      <w:r>
        <w:lastRenderedPageBreak/>
        <w:t>Wh</w:t>
      </w:r>
      <w:r w:rsidR="00645A0F">
        <w:t>at kind of ho</w:t>
      </w:r>
      <w:r w:rsidR="000C18EF">
        <w:t>m</w:t>
      </w:r>
      <w:r w:rsidR="00645A0F">
        <w:t>es would this apply to</w:t>
      </w:r>
      <w:r>
        <w:t>?</w:t>
      </w:r>
    </w:p>
    <w:p w14:paraId="76C4CF30" w14:textId="139DC666" w:rsidR="00B67959" w:rsidRPr="00A16C03" w:rsidRDefault="00B7528A" w:rsidP="00A16C03">
      <w:r>
        <w:t>The consultation draft provides that the sale of any dwelling in Australia – other than a caravan, houseboat or mobile home – could qualify you for a downsizer contribution, provided it has been owned for ten years.</w:t>
      </w:r>
    </w:p>
    <w:p w14:paraId="321FF2DC" w14:textId="3E00589C" w:rsidR="00E91D67" w:rsidRDefault="00645A0F" w:rsidP="007A499E">
      <w:pPr>
        <w:pStyle w:val="Heading1"/>
        <w:spacing w:before="0"/>
      </w:pPr>
      <w:r>
        <w:t>How would the ten-year rule work</w:t>
      </w:r>
      <w:r w:rsidR="007C08B9">
        <w:t>?</w:t>
      </w:r>
    </w:p>
    <w:p w14:paraId="3E0E8886" w14:textId="77777777" w:rsidR="000C18EF" w:rsidRDefault="007C08B9" w:rsidP="00B67959">
      <w:pPr>
        <w:spacing w:after="120"/>
      </w:pPr>
      <w:r>
        <w:t>The consultation draft provides that</w:t>
      </w:r>
      <w:r w:rsidR="00B7528A">
        <w:t xml:space="preserve"> </w:t>
      </w:r>
      <w:r w:rsidR="00BB11E0">
        <w:t>you or your spouse must have held the property at all times for the ten years leading up to the sale</w:t>
      </w:r>
      <w:r w:rsidR="00E95B17">
        <w:t>.</w:t>
      </w:r>
    </w:p>
    <w:p w14:paraId="4580FAE2" w14:textId="56081826" w:rsidR="000C18EF" w:rsidRDefault="000C18EF" w:rsidP="000C18EF">
      <w:pPr>
        <w:pStyle w:val="Heading1"/>
        <w:spacing w:before="0"/>
      </w:pPr>
      <w:r>
        <w:t>Must the home be my main residence?</w:t>
      </w:r>
    </w:p>
    <w:p w14:paraId="2976945D" w14:textId="52E0FBB8" w:rsidR="00705613" w:rsidRDefault="000C18EF" w:rsidP="00B67959">
      <w:pPr>
        <w:spacing w:after="120"/>
      </w:pPr>
      <w:r w:rsidRPr="00113767">
        <w:t>Yes, but only</w:t>
      </w:r>
      <w:r w:rsidR="00BB11E0" w:rsidRPr="00113767">
        <w:t xml:space="preserve"> for some portion of </w:t>
      </w:r>
      <w:r w:rsidR="00087BCA" w:rsidRPr="00113767">
        <w:t>your ownership period. The consultation draft provides that if you receive a partial or full main residence exemption for CGT purposes then you qualify. F</w:t>
      </w:r>
      <w:r w:rsidR="00BB11E0" w:rsidRPr="00113767">
        <w:t>or example, if you had moved out</w:t>
      </w:r>
      <w:r w:rsidR="00087BCA" w:rsidRPr="00113767">
        <w:t xml:space="preserve"> of your home for several years </w:t>
      </w:r>
      <w:r w:rsidR="00BB11E0" w:rsidRPr="00113767">
        <w:t>prior to selling it, you would still be eligible.</w:t>
      </w:r>
    </w:p>
    <w:p w14:paraId="5C027B74" w14:textId="77777777" w:rsidR="00645A0F" w:rsidRDefault="00645A0F" w:rsidP="007A499E">
      <w:pPr>
        <w:pStyle w:val="Heading1"/>
        <w:spacing w:before="0"/>
      </w:pPr>
      <w:r>
        <w:t>Would I actually have to ‘downsize’?</w:t>
      </w:r>
    </w:p>
    <w:p w14:paraId="6646ECDA" w14:textId="61D0C84B" w:rsidR="00645A0F" w:rsidRPr="000B6ED9" w:rsidRDefault="002A605F" w:rsidP="00645A0F">
      <w:r w:rsidRPr="00113767">
        <w:t xml:space="preserve">No. </w:t>
      </w:r>
      <w:r w:rsidR="00645A0F" w:rsidRPr="00113767">
        <w:t xml:space="preserve">The consultation </w:t>
      </w:r>
      <w:r w:rsidR="00645A0F">
        <w:t xml:space="preserve">draft provides that you would be able to make a </w:t>
      </w:r>
      <w:r w:rsidR="00F30A5A">
        <w:t xml:space="preserve">downsizer </w:t>
      </w:r>
      <w:r w:rsidR="00645A0F">
        <w:t>contribution after selling your ho</w:t>
      </w:r>
      <w:r w:rsidR="000E22D2">
        <w:t>m</w:t>
      </w:r>
      <w:r w:rsidR="00645A0F">
        <w:t xml:space="preserve">e; you would not be required to make any subsequent purchase. You can move into </w:t>
      </w:r>
      <w:r w:rsidR="00645A0F" w:rsidRPr="00CE4FCA">
        <w:t xml:space="preserve">any </w:t>
      </w:r>
      <w:r w:rsidR="00645A0F">
        <w:t>living situation</w:t>
      </w:r>
      <w:r w:rsidR="00645A0F" w:rsidRPr="00CE4FCA">
        <w:t xml:space="preserve"> suitable for </w:t>
      </w:r>
      <w:r w:rsidR="00645A0F">
        <w:t>you</w:t>
      </w:r>
      <w:r w:rsidR="00645A0F" w:rsidRPr="00CE4FCA">
        <w:t xml:space="preserve">, </w:t>
      </w:r>
      <w:r w:rsidR="00645A0F">
        <w:t>including</w:t>
      </w:r>
      <w:r w:rsidR="00645A0F" w:rsidRPr="00CE4FCA">
        <w:t xml:space="preserve"> into retirement communities, aged care, smaller properties, homes not close to schools or away from major employment</w:t>
      </w:r>
      <w:r w:rsidR="00645A0F">
        <w:t xml:space="preserve"> centres</w:t>
      </w:r>
      <w:r w:rsidR="00645A0F" w:rsidRPr="00CE4FCA">
        <w:t xml:space="preserve">, or </w:t>
      </w:r>
      <w:r w:rsidR="00645A0F">
        <w:t xml:space="preserve">into your </w:t>
      </w:r>
      <w:r w:rsidR="00645A0F" w:rsidRPr="00CE4FCA">
        <w:t>adult children’s homes</w:t>
      </w:r>
      <w:r w:rsidR="00645A0F">
        <w:t>.</w:t>
      </w:r>
    </w:p>
    <w:p w14:paraId="0ED66774" w14:textId="77777777" w:rsidR="00013FED" w:rsidRDefault="00013FED" w:rsidP="007A499E">
      <w:pPr>
        <w:pStyle w:val="Heading1"/>
        <w:spacing w:before="0"/>
      </w:pPr>
      <w:r>
        <w:lastRenderedPageBreak/>
        <w:t>When could I make a contribution?</w:t>
      </w:r>
    </w:p>
    <w:p w14:paraId="524B7633" w14:textId="79A29BF3" w:rsidR="00013FED" w:rsidRDefault="00013FED" w:rsidP="00013FED">
      <w:pPr>
        <w:spacing w:after="120"/>
      </w:pPr>
      <w:r>
        <w:t xml:space="preserve">The consultation draft provides that the </w:t>
      </w:r>
      <w:r w:rsidR="00F30A5A">
        <w:t xml:space="preserve">downsizer </w:t>
      </w:r>
      <w:r>
        <w:t>contribution must be made within 90 days after your ho</w:t>
      </w:r>
      <w:r w:rsidR="000E22D2">
        <w:t>m</w:t>
      </w:r>
      <w:r>
        <w:t>e changes ownership (generally, th</w:t>
      </w:r>
      <w:r w:rsidR="00087BCA">
        <w:t xml:space="preserve">e date of settlement). You may </w:t>
      </w:r>
      <w:r>
        <w:t>be able to seek an extension of this time from the ATO.</w:t>
      </w:r>
    </w:p>
    <w:p w14:paraId="535AE112" w14:textId="1672FF9F" w:rsidR="00E95B17" w:rsidRDefault="00645A0F" w:rsidP="007A499E">
      <w:pPr>
        <w:pStyle w:val="Heading1"/>
        <w:spacing w:before="0"/>
      </w:pPr>
      <w:r>
        <w:t>Could I sell now and contribute after 1 July 2018</w:t>
      </w:r>
      <w:r w:rsidR="00E95B17">
        <w:t>?</w:t>
      </w:r>
    </w:p>
    <w:p w14:paraId="5418F481" w14:textId="4D7DA032" w:rsidR="00E95B17" w:rsidRDefault="000E03F3" w:rsidP="00B67959">
      <w:pPr>
        <w:spacing w:after="120"/>
      </w:pPr>
      <w:r>
        <w:t>No. The consultation draft provides that this measure would only apply to home sales where the contract of sale is entered into on or after 1 July 2018.</w:t>
      </w:r>
    </w:p>
    <w:p w14:paraId="48CBC564" w14:textId="6F3BB7B8" w:rsidR="00E95B17" w:rsidRDefault="00645A0F" w:rsidP="007A499E">
      <w:pPr>
        <w:pStyle w:val="Heading1"/>
        <w:spacing w:before="0"/>
      </w:pPr>
      <w:r>
        <w:t xml:space="preserve">Must my spouse have been on the title to </w:t>
      </w:r>
      <w:r w:rsidR="009A6BA8">
        <w:t>make a contribution</w:t>
      </w:r>
      <w:r w:rsidR="000151B4">
        <w:t>?</w:t>
      </w:r>
    </w:p>
    <w:p w14:paraId="11FDD3CB" w14:textId="59DB9BE4" w:rsidR="00E83294" w:rsidRPr="00113767" w:rsidRDefault="002A605F" w:rsidP="009A6BA8">
      <w:pPr>
        <w:spacing w:after="120"/>
      </w:pPr>
      <w:r w:rsidRPr="00113767">
        <w:t xml:space="preserve">No. </w:t>
      </w:r>
      <w:r w:rsidR="00765F3C" w:rsidRPr="00113767">
        <w:t>The consultation draft provides that either you</w:t>
      </w:r>
      <w:r w:rsidR="009A6BA8" w:rsidRPr="00113767">
        <w:t xml:space="preserve"> or</w:t>
      </w:r>
      <w:r w:rsidR="00765F3C" w:rsidRPr="00113767">
        <w:t xml:space="preserve"> your spouse </w:t>
      </w:r>
      <w:r w:rsidR="009A6BA8" w:rsidRPr="00113767">
        <w:t xml:space="preserve">must have owned the home for the </w:t>
      </w:r>
      <w:r w:rsidR="000E22D2" w:rsidRPr="00113767">
        <w:t>p</w:t>
      </w:r>
      <w:r w:rsidR="009A6BA8" w:rsidRPr="00113767">
        <w:t>ast ten years</w:t>
      </w:r>
      <w:r w:rsidR="000E22D2" w:rsidRPr="00113767">
        <w:t xml:space="preserve"> up to the point of sale</w:t>
      </w:r>
      <w:r w:rsidR="00BA4F52" w:rsidRPr="00113767">
        <w:t>.</w:t>
      </w:r>
      <w:r w:rsidR="009A6BA8" w:rsidRPr="00113767">
        <w:t xml:space="preserve"> That would mean that if your spouse was </w:t>
      </w:r>
      <w:r w:rsidRPr="00113767">
        <w:t xml:space="preserve">not on the title but you were, both you and your </w:t>
      </w:r>
      <w:r w:rsidR="009A6BA8" w:rsidRPr="00113767">
        <w:t xml:space="preserve">spouse could </w:t>
      </w:r>
      <w:r w:rsidR="00113767" w:rsidRPr="00113767">
        <w:t>make</w:t>
      </w:r>
      <w:r w:rsidRPr="00113767">
        <w:t xml:space="preserve"> </w:t>
      </w:r>
      <w:r w:rsidR="00F30A5A">
        <w:t xml:space="preserve">downsizer </w:t>
      </w:r>
      <w:r w:rsidR="009A6BA8" w:rsidRPr="00113767">
        <w:t>contribution</w:t>
      </w:r>
      <w:r w:rsidRPr="00113767">
        <w:t>s</w:t>
      </w:r>
      <w:r w:rsidR="009A6BA8" w:rsidRPr="00113767">
        <w:t>.</w:t>
      </w:r>
    </w:p>
    <w:p w14:paraId="6D5766E5" w14:textId="1FDDF8FE" w:rsidR="000E22D2" w:rsidRDefault="000E22D2" w:rsidP="000E22D2">
      <w:pPr>
        <w:pStyle w:val="Heading1"/>
        <w:spacing w:before="0"/>
      </w:pPr>
      <w:r>
        <w:t>Could I claim a deduction for the contribution?</w:t>
      </w:r>
    </w:p>
    <w:p w14:paraId="2E36F288" w14:textId="21A0CF59" w:rsidR="000E22D2" w:rsidRDefault="000E22D2" w:rsidP="009A6BA8">
      <w:pPr>
        <w:spacing w:after="120"/>
        <w:sectPr w:rsidR="000E22D2" w:rsidSect="00734717">
          <w:type w:val="continuous"/>
          <w:pgSz w:w="11906" w:h="16838" w:code="9"/>
          <w:pgMar w:top="2552" w:right="851" w:bottom="567" w:left="851" w:header="709" w:footer="709" w:gutter="0"/>
          <w:cols w:num="2" w:space="284"/>
          <w:docGrid w:linePitch="360"/>
        </w:sectPr>
      </w:pPr>
      <w:r>
        <w:t xml:space="preserve">No. A deduction would make the </w:t>
      </w:r>
      <w:r w:rsidR="00F30A5A">
        <w:t xml:space="preserve">downsizer </w:t>
      </w:r>
      <w:r>
        <w:t>contribution concessional, but the downsizing measure allows only non</w:t>
      </w:r>
      <w:r>
        <w:noBreakHyphen/>
        <w:t>concessional contribution</w:t>
      </w:r>
      <w:r w:rsidR="0077698D">
        <w:t>s</w:t>
      </w:r>
      <w:r>
        <w:t>.</w:t>
      </w:r>
    </w:p>
    <w:p w14:paraId="65010993" w14:textId="3D97C7B8" w:rsidR="00E76384" w:rsidRDefault="00E76384" w:rsidP="008F074C">
      <w:pPr>
        <w:pStyle w:val="Heading1"/>
        <w:spacing w:before="0"/>
      </w:pPr>
      <w:r>
        <w:lastRenderedPageBreak/>
        <w:t>How much could I contribute?</w:t>
      </w:r>
    </w:p>
    <w:p w14:paraId="09B628E2" w14:textId="6FB327A9" w:rsidR="00E76384" w:rsidRPr="00E76384" w:rsidRDefault="009D73F0" w:rsidP="00E76384">
      <w:r>
        <w:t xml:space="preserve">The maximum </w:t>
      </w:r>
      <w:r w:rsidR="00F30A5A">
        <w:t xml:space="preserve">downsizer </w:t>
      </w:r>
      <w:r>
        <w:t xml:space="preserve">contribution would generally be $300,000 per contributor (so, $600,000 for a couple). However, the </w:t>
      </w:r>
      <w:r w:rsidR="00F30A5A">
        <w:t xml:space="preserve">downsizer </w:t>
      </w:r>
      <w:r>
        <w:t>contribution must come from the proceeds of the sale. Therefore, the consultation draft provides that no more than the capital proceeds of the sale (the sale price) would be able to be contributed. So, if a couple sold their home for $500,000, their combined downsizer contributions would be limited to $500,000 (in any combination, but no more than $300,000 for either of them).</w:t>
      </w:r>
      <w:r w:rsidR="000E22D2">
        <w:t xml:space="preserve"> If an individual sold a home for $250,000, her or his </w:t>
      </w:r>
      <w:r w:rsidR="00F30A5A">
        <w:t xml:space="preserve">downsizer </w:t>
      </w:r>
      <w:r w:rsidR="000E22D2">
        <w:t>contribution would be limited to $250,000.</w:t>
      </w:r>
    </w:p>
    <w:p w14:paraId="4354C735" w14:textId="334C95A1" w:rsidR="00E91D67" w:rsidRDefault="00645A0F" w:rsidP="007A499E">
      <w:pPr>
        <w:pStyle w:val="Heading1"/>
        <w:spacing w:before="0"/>
      </w:pPr>
      <w:r>
        <w:t>C</w:t>
      </w:r>
      <w:r w:rsidR="00E76384">
        <w:t>ould</w:t>
      </w:r>
      <w:r>
        <w:t xml:space="preserve"> I contribute more than once</w:t>
      </w:r>
      <w:r w:rsidR="00A60894">
        <w:t>?</w:t>
      </w:r>
    </w:p>
    <w:p w14:paraId="76C768FD" w14:textId="2242B830" w:rsidR="00E91D67" w:rsidRDefault="009D73F0" w:rsidP="00E91D67">
      <w:pPr>
        <w:spacing w:after="120"/>
      </w:pPr>
      <w:r>
        <w:t xml:space="preserve">You would be able to make multiple </w:t>
      </w:r>
      <w:r w:rsidR="00F30A5A">
        <w:t xml:space="preserve">downsizer </w:t>
      </w:r>
      <w:r>
        <w:t xml:space="preserve">contributions within the 90 days, provided you did not exceed the cap and met all other criteria. However, you would not be able to make a subsequent </w:t>
      </w:r>
      <w:r w:rsidR="00F30A5A">
        <w:t xml:space="preserve">downsizer </w:t>
      </w:r>
      <w:r>
        <w:t>contribution, even if you sold another qualifying house.</w:t>
      </w:r>
    </w:p>
    <w:p w14:paraId="748BE6CA" w14:textId="3E97AD0A" w:rsidR="00243F6D" w:rsidRDefault="00645A0F" w:rsidP="007A499E">
      <w:pPr>
        <w:pStyle w:val="Heading1"/>
        <w:spacing w:before="0"/>
      </w:pPr>
      <w:r>
        <w:t>Must my fund accept my contribution</w:t>
      </w:r>
      <w:r w:rsidR="00243F6D">
        <w:t>?</w:t>
      </w:r>
    </w:p>
    <w:p w14:paraId="1D0ACA9E" w14:textId="601B6323" w:rsidR="00243F6D" w:rsidRPr="00243F6D" w:rsidRDefault="009D73F0" w:rsidP="00243F6D">
      <w:r>
        <w:t xml:space="preserve">Like any other superannuation contribution, whether the fund will accept the </w:t>
      </w:r>
      <w:r w:rsidR="00F30A5A">
        <w:t xml:space="preserve">downsizer </w:t>
      </w:r>
      <w:r>
        <w:t xml:space="preserve">contribution is a </w:t>
      </w:r>
      <w:r>
        <w:lastRenderedPageBreak/>
        <w:t>matter for the fund’s trustees according to fund’s rules. You should check with your fund, and consider opening a separate account if your fund will not accept downsizer contributions.</w:t>
      </w:r>
    </w:p>
    <w:p w14:paraId="5B13B0B0" w14:textId="1F22346E" w:rsidR="00E91D67" w:rsidRDefault="00A60894" w:rsidP="007A499E">
      <w:pPr>
        <w:pStyle w:val="Heading1"/>
        <w:spacing w:before="0"/>
      </w:pPr>
      <w:r>
        <w:t xml:space="preserve">What </w:t>
      </w:r>
      <w:r w:rsidR="00645A0F">
        <w:t>if I don’t have a super account</w:t>
      </w:r>
      <w:r>
        <w:t>?</w:t>
      </w:r>
    </w:p>
    <w:p w14:paraId="1D6E36AB" w14:textId="0CF2A81D" w:rsidR="00B67959" w:rsidRDefault="009D73F0" w:rsidP="00B67959">
      <w:pPr>
        <w:spacing w:after="120"/>
      </w:pPr>
      <w:r>
        <w:t>There is no general restriction preventing you from opening a superannuation account to make a downsizer contribution.</w:t>
      </w:r>
    </w:p>
    <w:p w14:paraId="2E897D12" w14:textId="716386AE" w:rsidR="00645A0F" w:rsidRDefault="00645A0F" w:rsidP="00645A0F">
      <w:pPr>
        <w:pStyle w:val="Heading1"/>
        <w:spacing w:before="0"/>
      </w:pPr>
      <w:r>
        <w:t xml:space="preserve">What </w:t>
      </w:r>
      <w:r w:rsidR="00E76384">
        <w:t xml:space="preserve">would </w:t>
      </w:r>
      <w:r>
        <w:t>happen if it turn</w:t>
      </w:r>
      <w:r w:rsidR="00E76384">
        <w:t>ed</w:t>
      </w:r>
      <w:r>
        <w:t xml:space="preserve"> out I was ineligible to contribute?</w:t>
      </w:r>
    </w:p>
    <w:p w14:paraId="3A015ACB" w14:textId="79257B4C" w:rsidR="00406761" w:rsidRDefault="00E9027E" w:rsidP="00E91D67">
      <w:pPr>
        <w:spacing w:after="120"/>
      </w:pPr>
      <w:r>
        <w:t>The consultation draft provides that if the ATO discovers that a downsizer contribution was ineligible, it will notify the fund. In some cases, the contribution will have been allowed anyway; for example, where the contributor was over 65 but met the work test. In that case, the contribution would remain in the superannuation account and would count towards the member’s usual contribution caps.</w:t>
      </w:r>
      <w:r w:rsidR="009D131A">
        <w:t xml:space="preserve"> Excess contributions would then be treated in the usual way. If the contribution could not have been made but for the downsizer measure, and it was not an eligible downsizer contribution, then it would be returned to the contributor in accordance with the existing law.</w:t>
      </w:r>
    </w:p>
    <w:p w14:paraId="587661D6" w14:textId="77777777" w:rsidR="007E5DC1" w:rsidRDefault="007E5DC1" w:rsidP="00541330">
      <w:pPr>
        <w:pStyle w:val="Heading1"/>
        <w:sectPr w:rsidR="007E5DC1" w:rsidSect="00E83294">
          <w:pgSz w:w="11906" w:h="16838" w:code="9"/>
          <w:pgMar w:top="2552" w:right="851" w:bottom="851" w:left="851" w:header="709" w:footer="709" w:gutter="0"/>
          <w:cols w:num="2" w:space="284"/>
          <w:titlePg/>
          <w:docGrid w:linePitch="360"/>
        </w:sectPr>
      </w:pPr>
    </w:p>
    <w:p w14:paraId="07DDC71F" w14:textId="3A91585A" w:rsidR="00E91D67" w:rsidRPr="00B67959" w:rsidRDefault="007E5DC1" w:rsidP="007A499E">
      <w:pPr>
        <w:pStyle w:val="Heading1"/>
        <w:spacing w:before="0"/>
        <w:rPr>
          <w:sz w:val="32"/>
        </w:rPr>
      </w:pPr>
      <w:r w:rsidRPr="00B67959">
        <w:rPr>
          <w:sz w:val="32"/>
        </w:rPr>
        <w:lastRenderedPageBreak/>
        <w:t>Share your views</w:t>
      </w:r>
    </w:p>
    <w:p w14:paraId="52252412" w14:textId="73FF216F" w:rsidR="00A16C03" w:rsidRDefault="00A16C03" w:rsidP="00E91D67">
      <w:pPr>
        <w:spacing w:after="120"/>
        <w:rPr>
          <w:rFonts w:ascii="Calibri Light" w:hAnsi="Calibri Light"/>
          <w:color w:val="262626" w:themeColor="text1" w:themeTint="D9"/>
          <w:sz w:val="28"/>
        </w:rPr>
      </w:pPr>
      <w:r>
        <w:rPr>
          <w:rFonts w:ascii="Calibri Light" w:hAnsi="Calibri Light"/>
          <w:color w:val="262626" w:themeColor="text1" w:themeTint="D9"/>
          <w:sz w:val="28"/>
        </w:rPr>
        <w:t xml:space="preserve">The consultation draft legislation is intended to implement the </w:t>
      </w:r>
      <w:r w:rsidR="00DB0913">
        <w:rPr>
          <w:rFonts w:ascii="Calibri Light" w:hAnsi="Calibri Light"/>
          <w:color w:val="262626" w:themeColor="text1" w:themeTint="D9"/>
          <w:sz w:val="28"/>
        </w:rPr>
        <w:t>downsizing measure</w:t>
      </w:r>
      <w:r>
        <w:rPr>
          <w:rFonts w:ascii="Calibri Light" w:hAnsi="Calibri Light"/>
          <w:color w:val="262626" w:themeColor="text1" w:themeTint="D9"/>
          <w:sz w:val="28"/>
        </w:rPr>
        <w:t xml:space="preserve"> as described above. It is not yet law. The Government intends to introduce legislation into Parliament to make it law after considering the results of this consultation process.</w:t>
      </w:r>
    </w:p>
    <w:p w14:paraId="6CF02DFD" w14:textId="6FD9A80B" w:rsidR="00A16C03" w:rsidRDefault="00A16C03" w:rsidP="00E91D67">
      <w:pPr>
        <w:spacing w:after="120"/>
        <w:rPr>
          <w:rFonts w:ascii="Calibri Light" w:hAnsi="Calibri Light"/>
          <w:color w:val="262626" w:themeColor="text1" w:themeTint="D9"/>
          <w:sz w:val="28"/>
        </w:rPr>
      </w:pPr>
      <w:r>
        <w:rPr>
          <w:rFonts w:ascii="Calibri Light" w:hAnsi="Calibri Light"/>
          <w:color w:val="262626" w:themeColor="text1" w:themeTint="D9"/>
          <w:sz w:val="28"/>
        </w:rPr>
        <w:t xml:space="preserve">Treasury is seeking views from all stakeholders on the draft legislation. Would the draft legislation, if enacted in this form, accurately implement the design features of the </w:t>
      </w:r>
      <w:r w:rsidR="00DB0913">
        <w:rPr>
          <w:rFonts w:ascii="Calibri Light" w:hAnsi="Calibri Light"/>
          <w:color w:val="262626" w:themeColor="text1" w:themeTint="D9"/>
          <w:sz w:val="28"/>
        </w:rPr>
        <w:t>downsizing measure</w:t>
      </w:r>
      <w:r>
        <w:rPr>
          <w:rFonts w:ascii="Calibri Light" w:hAnsi="Calibri Light"/>
          <w:color w:val="262626" w:themeColor="text1" w:themeTint="D9"/>
          <w:sz w:val="28"/>
        </w:rPr>
        <w:t>? Could it result in any unintended consequences?</w:t>
      </w:r>
    </w:p>
    <w:p w14:paraId="025C0506" w14:textId="7F4DB5BC" w:rsidR="00A16C03" w:rsidRDefault="00A16C03" w:rsidP="00E91D67">
      <w:pPr>
        <w:spacing w:after="120"/>
        <w:rPr>
          <w:rFonts w:ascii="Calibri Light" w:hAnsi="Calibri Light"/>
          <w:color w:val="262626" w:themeColor="text1" w:themeTint="D9"/>
          <w:sz w:val="28"/>
        </w:rPr>
      </w:pPr>
      <w:r>
        <w:rPr>
          <w:rFonts w:ascii="Calibri Light" w:hAnsi="Calibri Light"/>
          <w:color w:val="262626" w:themeColor="text1" w:themeTint="D9"/>
          <w:sz w:val="28"/>
        </w:rPr>
        <w:t xml:space="preserve">Please share your views on the draft legislation through the ‘Consultations and Submissions’ page at </w:t>
      </w:r>
      <w:hyperlink r:id="rId20" w:history="1">
        <w:r w:rsidRPr="007D15FA">
          <w:rPr>
            <w:rStyle w:val="Hyperlink"/>
            <w:rFonts w:ascii="Calibri Light" w:hAnsi="Calibri Light"/>
            <w:sz w:val="28"/>
          </w:rPr>
          <w:t>www.treasury.gov.au</w:t>
        </w:r>
      </w:hyperlink>
      <w:r>
        <w:rPr>
          <w:rFonts w:ascii="Calibri Light" w:hAnsi="Calibri Light"/>
          <w:color w:val="262626" w:themeColor="text1" w:themeTint="D9"/>
          <w:sz w:val="28"/>
        </w:rPr>
        <w:t>.</w:t>
      </w:r>
    </w:p>
    <w:sectPr w:rsidR="00A16C03" w:rsidSect="007E5DC1">
      <w:type w:val="continuous"/>
      <w:pgSz w:w="11906" w:h="16838" w:code="9"/>
      <w:pgMar w:top="2552" w:right="851" w:bottom="851" w:left="851"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A3E19" w14:textId="77777777" w:rsidR="00DB1783" w:rsidRDefault="00DB1783" w:rsidP="00E91D67">
      <w:pPr>
        <w:spacing w:after="0" w:line="240" w:lineRule="auto"/>
      </w:pPr>
      <w:r>
        <w:separator/>
      </w:r>
    </w:p>
  </w:endnote>
  <w:endnote w:type="continuationSeparator" w:id="0">
    <w:p w14:paraId="51EEC7C1" w14:textId="77777777" w:rsidR="00DB1783" w:rsidRDefault="00DB1783" w:rsidP="00E9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06331"/>
      <w:docPartObj>
        <w:docPartGallery w:val="Page Numbers (Bottom of Page)"/>
        <w:docPartUnique/>
      </w:docPartObj>
    </w:sdtPr>
    <w:sdtEndPr>
      <w:rPr>
        <w:b/>
        <w:noProof/>
        <w:color w:val="002060"/>
      </w:rPr>
    </w:sdtEndPr>
    <w:sdtContent>
      <w:p w14:paraId="77AB81BA" w14:textId="77777777" w:rsidR="00541330" w:rsidRPr="00E91D67" w:rsidRDefault="00541330" w:rsidP="00541330">
        <w:pPr>
          <w:pStyle w:val="Footer"/>
          <w:spacing w:before="120"/>
          <w:jc w:val="right"/>
          <w:rPr>
            <w:b/>
            <w:color w:val="002060"/>
          </w:rPr>
        </w:pPr>
        <w:r w:rsidRPr="00E91D67">
          <w:rPr>
            <w:b/>
            <w:color w:val="002060"/>
          </w:rPr>
          <w:fldChar w:fldCharType="begin"/>
        </w:r>
        <w:r w:rsidRPr="00E91D67">
          <w:rPr>
            <w:b/>
            <w:color w:val="002060"/>
          </w:rPr>
          <w:instrText xml:space="preserve"> PAGE   \* MERGEFORMAT </w:instrText>
        </w:r>
        <w:r w:rsidRPr="00E91D67">
          <w:rPr>
            <w:b/>
            <w:color w:val="002060"/>
          </w:rPr>
          <w:fldChar w:fldCharType="separate"/>
        </w:r>
        <w:r w:rsidR="00734717">
          <w:rPr>
            <w:b/>
            <w:noProof/>
            <w:color w:val="002060"/>
          </w:rPr>
          <w:t>2</w:t>
        </w:r>
        <w:r w:rsidRPr="00E91D67">
          <w:rPr>
            <w:b/>
            <w:noProof/>
            <w:color w:val="00206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165650"/>
      <w:docPartObj>
        <w:docPartGallery w:val="Page Numbers (Bottom of Page)"/>
        <w:docPartUnique/>
      </w:docPartObj>
    </w:sdtPr>
    <w:sdtEndPr>
      <w:rPr>
        <w:b/>
        <w:noProof/>
        <w:color w:val="002060"/>
      </w:rPr>
    </w:sdtEndPr>
    <w:sdtContent>
      <w:p w14:paraId="5C6A7074" w14:textId="77777777" w:rsidR="00E91D67" w:rsidRPr="00E91D67" w:rsidRDefault="00E91D67" w:rsidP="00E91D67">
        <w:pPr>
          <w:pStyle w:val="Footer"/>
          <w:spacing w:before="120"/>
          <w:jc w:val="right"/>
          <w:rPr>
            <w:b/>
            <w:color w:val="002060"/>
          </w:rPr>
        </w:pPr>
        <w:r w:rsidRPr="00E91D67">
          <w:rPr>
            <w:b/>
            <w:color w:val="002060"/>
          </w:rPr>
          <w:fldChar w:fldCharType="begin"/>
        </w:r>
        <w:r w:rsidRPr="00E91D67">
          <w:rPr>
            <w:b/>
            <w:color w:val="002060"/>
          </w:rPr>
          <w:instrText xml:space="preserve"> PAGE   \* MERGEFORMAT </w:instrText>
        </w:r>
        <w:r w:rsidRPr="00E91D67">
          <w:rPr>
            <w:b/>
            <w:color w:val="002060"/>
          </w:rPr>
          <w:fldChar w:fldCharType="separate"/>
        </w:r>
        <w:r w:rsidR="004C4CEB">
          <w:rPr>
            <w:b/>
            <w:noProof/>
            <w:color w:val="002060"/>
          </w:rPr>
          <w:t>1</w:t>
        </w:r>
        <w:r w:rsidRPr="00E91D67">
          <w:rPr>
            <w:b/>
            <w:noProof/>
            <w:color w:val="00206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154453"/>
      <w:docPartObj>
        <w:docPartGallery w:val="Page Numbers (Bottom of Page)"/>
        <w:docPartUnique/>
      </w:docPartObj>
    </w:sdtPr>
    <w:sdtEndPr>
      <w:rPr>
        <w:b/>
        <w:noProof/>
        <w:color w:val="002060"/>
      </w:rPr>
    </w:sdtEndPr>
    <w:sdtContent>
      <w:p w14:paraId="75832623" w14:textId="77777777" w:rsidR="00B226AA" w:rsidRPr="00E91D67" w:rsidRDefault="00B226AA" w:rsidP="00B226AA">
        <w:pPr>
          <w:pStyle w:val="Footer"/>
          <w:spacing w:before="120"/>
          <w:jc w:val="right"/>
          <w:rPr>
            <w:b/>
            <w:color w:val="002060"/>
          </w:rPr>
        </w:pPr>
        <w:r w:rsidRPr="00E91D67">
          <w:rPr>
            <w:b/>
            <w:color w:val="002060"/>
          </w:rPr>
          <w:fldChar w:fldCharType="begin"/>
        </w:r>
        <w:r w:rsidRPr="00E91D67">
          <w:rPr>
            <w:b/>
            <w:color w:val="002060"/>
          </w:rPr>
          <w:instrText xml:space="preserve"> PAGE   \* MERGEFORMAT </w:instrText>
        </w:r>
        <w:r w:rsidRPr="00E91D67">
          <w:rPr>
            <w:b/>
            <w:color w:val="002060"/>
          </w:rPr>
          <w:fldChar w:fldCharType="separate"/>
        </w:r>
        <w:r w:rsidR="004C4CEB">
          <w:rPr>
            <w:b/>
            <w:noProof/>
            <w:color w:val="002060"/>
          </w:rPr>
          <w:t>2</w:t>
        </w:r>
        <w:r w:rsidRPr="00E91D67">
          <w:rPr>
            <w:b/>
            <w:noProof/>
            <w:color w:val="00206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494D6" w14:textId="77777777" w:rsidR="00DB1783" w:rsidRDefault="00DB1783" w:rsidP="00E91D67">
      <w:pPr>
        <w:spacing w:after="0" w:line="240" w:lineRule="auto"/>
      </w:pPr>
      <w:r>
        <w:separator/>
      </w:r>
    </w:p>
  </w:footnote>
  <w:footnote w:type="continuationSeparator" w:id="0">
    <w:p w14:paraId="16780692" w14:textId="77777777" w:rsidR="00DB1783" w:rsidRDefault="00DB1783" w:rsidP="00E91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CDC9" w14:textId="77777777" w:rsidR="00541330" w:rsidRDefault="00B226AA" w:rsidP="00541330">
    <w:pPr>
      <w:spacing w:after="120" w:line="240" w:lineRule="auto"/>
      <w:rPr>
        <w:b/>
        <w:color w:val="FFFFFF" w:themeColor="background1"/>
        <w:sz w:val="36"/>
      </w:rPr>
    </w:pPr>
    <w:r>
      <w:rPr>
        <w:b/>
        <w:noProof/>
        <w:color w:val="FFFFFF" w:themeColor="background1"/>
        <w:sz w:val="36"/>
        <w:lang w:eastAsia="en-AU"/>
      </w:rPr>
      <w:drawing>
        <wp:anchor distT="0" distB="0" distL="114300" distR="114300" simplePos="0" relativeHeight="251659264" behindDoc="1" locked="0" layoutInCell="1" allowOverlap="1" wp14:anchorId="4F22B0E7" wp14:editId="00E968F6">
          <wp:simplePos x="542925" y="447675"/>
          <wp:positionH relativeFrom="page">
            <wp:align>center</wp:align>
          </wp:positionH>
          <wp:positionV relativeFrom="page">
            <wp:align>top</wp:align>
          </wp:positionV>
          <wp:extent cx="7939080" cy="11079360"/>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9080" cy="11079360"/>
                  </a:xfrm>
                  <a:prstGeom prst="rect">
                    <a:avLst/>
                  </a:prstGeom>
                </pic:spPr>
              </pic:pic>
            </a:graphicData>
          </a:graphic>
          <wp14:sizeRelH relativeFrom="margin">
            <wp14:pctWidth>0</wp14:pctWidth>
          </wp14:sizeRelH>
          <wp14:sizeRelV relativeFrom="margin">
            <wp14:pctHeight>0</wp14:pctHeight>
          </wp14:sizeRelV>
        </wp:anchor>
      </w:drawing>
    </w:r>
    <w:r w:rsidR="00541330" w:rsidRPr="00E91D67">
      <w:rPr>
        <w:b/>
        <w:color w:val="FFFFFF" w:themeColor="background1"/>
        <w:sz w:val="36"/>
      </w:rPr>
      <w:t>Fact sheet</w:t>
    </w:r>
    <w:r w:rsidR="00541330">
      <w:rPr>
        <w:b/>
        <w:noProof/>
        <w:color w:val="FFFFFF" w:themeColor="background1"/>
        <w:sz w:val="36"/>
        <w:lang w:eastAsia="en-AU"/>
      </w:rPr>
      <w:drawing>
        <wp:inline distT="0" distB="0" distL="0" distR="0" wp14:anchorId="156C4D15" wp14:editId="76D5DC71">
          <wp:extent cx="6113145" cy="85312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6113145" cy="8531225"/>
                  </a:xfrm>
                  <a:prstGeom prst="rect">
                    <a:avLst/>
                  </a:prstGeom>
                </pic:spPr>
              </pic:pic>
            </a:graphicData>
          </a:graphic>
        </wp:inline>
      </w:drawing>
    </w:r>
  </w:p>
  <w:p w14:paraId="33947AA0" w14:textId="77777777" w:rsidR="00E91D67" w:rsidRDefault="00541330">
    <w:pPr>
      <w:pStyle w:val="Header"/>
    </w:pPr>
    <w:r>
      <w:rPr>
        <w:noProof/>
        <w:lang w:eastAsia="en-AU"/>
      </w:rPr>
      <w:drawing>
        <wp:inline distT="0" distB="0" distL="0" distR="0" wp14:anchorId="0576E124" wp14:editId="3CA7C42C">
          <wp:extent cx="6113145" cy="8531225"/>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6113145" cy="8531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3C3D2" w14:textId="5FB37395" w:rsidR="00E91D67" w:rsidRDefault="00296985" w:rsidP="00541330">
    <w:pPr>
      <w:spacing w:after="120" w:line="240" w:lineRule="auto"/>
      <w:rPr>
        <w:b/>
        <w:color w:val="FFFFFF" w:themeColor="background1"/>
        <w:sz w:val="36"/>
      </w:rPr>
    </w:pPr>
    <w:r>
      <w:rPr>
        <w:noProof/>
        <w:lang w:eastAsia="en-AU"/>
      </w:rPr>
      <w:drawing>
        <wp:anchor distT="0" distB="0" distL="114300" distR="114300" simplePos="0" relativeHeight="251662336" behindDoc="1" locked="0" layoutInCell="1" allowOverlap="1" wp14:anchorId="0DD76E6A" wp14:editId="07310E89">
          <wp:simplePos x="0" y="0"/>
          <wp:positionH relativeFrom="page">
            <wp:posOffset>-10795</wp:posOffset>
          </wp:positionH>
          <wp:positionV relativeFrom="page">
            <wp:posOffset>-19050</wp:posOffset>
          </wp:positionV>
          <wp:extent cx="7884000" cy="110016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000" cy="11001600"/>
                  </a:xfrm>
                  <a:prstGeom prst="rect">
                    <a:avLst/>
                  </a:prstGeom>
                </pic:spPr>
              </pic:pic>
            </a:graphicData>
          </a:graphic>
          <wp14:sizeRelH relativeFrom="margin">
            <wp14:pctWidth>0</wp14:pctWidth>
          </wp14:sizeRelH>
          <wp14:sizeRelV relativeFrom="margin">
            <wp14:pctHeight>0</wp14:pctHeight>
          </wp14:sizeRelV>
        </wp:anchor>
      </w:drawing>
    </w:r>
    <w:r w:rsidR="0027388E">
      <w:rPr>
        <w:b/>
        <w:color w:val="FFFFFF" w:themeColor="background1"/>
        <w:sz w:val="36"/>
      </w:rPr>
      <w:t>Consultation</w:t>
    </w:r>
    <w:r w:rsidR="0061565E">
      <w:rPr>
        <w:b/>
        <w:color w:val="FFFFFF" w:themeColor="background1"/>
        <w:sz w:val="36"/>
      </w:rPr>
      <w:t xml:space="preserve"> draft: key </w:t>
    </w:r>
    <w:r w:rsidR="0027388E">
      <w:rPr>
        <w:b/>
        <w:color w:val="FFFFFF" w:themeColor="background1"/>
        <w:sz w:val="36"/>
      </w:rPr>
      <w:t>design features</w:t>
    </w:r>
  </w:p>
  <w:p w14:paraId="7B3BFC9E" w14:textId="29963BCF" w:rsidR="00E91D67" w:rsidRPr="00E91D67" w:rsidRDefault="00E35ED2" w:rsidP="00541330">
    <w:pPr>
      <w:spacing w:after="0" w:line="240" w:lineRule="auto"/>
      <w:rPr>
        <w:rFonts w:ascii="Calibri Light" w:hAnsi="Calibri Light"/>
        <w:b/>
        <w:color w:val="FFFFFF" w:themeColor="background1"/>
        <w:sz w:val="48"/>
        <w:szCs w:val="48"/>
      </w:rPr>
    </w:pPr>
    <w:r>
      <w:rPr>
        <w:rFonts w:ascii="Calibri Light" w:hAnsi="Calibri Light"/>
        <w:b/>
        <w:color w:val="FFFFFF" w:themeColor="background1"/>
        <w:sz w:val="72"/>
        <w:szCs w:val="48"/>
      </w:rPr>
      <w:t>Reducing barriers to downsizing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00B9" w14:textId="2E6575C5" w:rsidR="00B226AA" w:rsidRDefault="0027388E">
    <w:pPr>
      <w:pStyle w:val="Header"/>
    </w:pPr>
    <w:r>
      <w:rPr>
        <w:b/>
        <w:color w:val="FFFFFF" w:themeColor="background1"/>
        <w:sz w:val="36"/>
      </w:rPr>
      <w:t>Consultation draft: key design features</w:t>
    </w:r>
    <w:r w:rsidR="00B226AA">
      <w:rPr>
        <w:noProof/>
        <w:lang w:eastAsia="en-AU"/>
      </w:rPr>
      <w:t xml:space="preserve"> </w:t>
    </w:r>
    <w:r w:rsidR="00B226AA">
      <w:rPr>
        <w:noProof/>
        <w:lang w:eastAsia="en-AU"/>
      </w:rPr>
      <w:drawing>
        <wp:anchor distT="0" distB="0" distL="114300" distR="114300" simplePos="0" relativeHeight="251660288" behindDoc="1" locked="0" layoutInCell="1" allowOverlap="1" wp14:anchorId="532CA855" wp14:editId="73429C05">
          <wp:simplePos x="542925" y="447675"/>
          <wp:positionH relativeFrom="page">
            <wp:align>center</wp:align>
          </wp:positionH>
          <wp:positionV relativeFrom="page">
            <wp:align>top</wp:align>
          </wp:positionV>
          <wp:extent cx="7884000" cy="110016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000" cy="11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43FC"/>
    <w:multiLevelType w:val="multilevel"/>
    <w:tmpl w:val="0820F61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09"/>
    <w:rsid w:val="00013FED"/>
    <w:rsid w:val="000151B4"/>
    <w:rsid w:val="000632A1"/>
    <w:rsid w:val="00087BCA"/>
    <w:rsid w:val="000B6ED9"/>
    <w:rsid w:val="000C18EF"/>
    <w:rsid w:val="000E03F3"/>
    <w:rsid w:val="000E22D2"/>
    <w:rsid w:val="001038A7"/>
    <w:rsid w:val="00113767"/>
    <w:rsid w:val="00196083"/>
    <w:rsid w:val="001C2CB8"/>
    <w:rsid w:val="001D223B"/>
    <w:rsid w:val="001E0662"/>
    <w:rsid w:val="001E3DD0"/>
    <w:rsid w:val="00240073"/>
    <w:rsid w:val="00243F6D"/>
    <w:rsid w:val="002514F7"/>
    <w:rsid w:val="00252FF2"/>
    <w:rsid w:val="0027388E"/>
    <w:rsid w:val="002750ED"/>
    <w:rsid w:val="00287C5B"/>
    <w:rsid w:val="00296177"/>
    <w:rsid w:val="00296985"/>
    <w:rsid w:val="00297A89"/>
    <w:rsid w:val="002A605F"/>
    <w:rsid w:val="002D1B1F"/>
    <w:rsid w:val="002D37FE"/>
    <w:rsid w:val="002E03C7"/>
    <w:rsid w:val="002F4940"/>
    <w:rsid w:val="00336109"/>
    <w:rsid w:val="00343D9B"/>
    <w:rsid w:val="003513E4"/>
    <w:rsid w:val="00351C37"/>
    <w:rsid w:val="003705AB"/>
    <w:rsid w:val="003A73FE"/>
    <w:rsid w:val="003A7C60"/>
    <w:rsid w:val="003E4DD8"/>
    <w:rsid w:val="003F08EB"/>
    <w:rsid w:val="003F4934"/>
    <w:rsid w:val="00406761"/>
    <w:rsid w:val="004554F6"/>
    <w:rsid w:val="004A6FF0"/>
    <w:rsid w:val="004B03AE"/>
    <w:rsid w:val="004B759A"/>
    <w:rsid w:val="004C4CEB"/>
    <w:rsid w:val="004D51C3"/>
    <w:rsid w:val="00500A0B"/>
    <w:rsid w:val="005201DB"/>
    <w:rsid w:val="00523D5E"/>
    <w:rsid w:val="00541330"/>
    <w:rsid w:val="005C7C9A"/>
    <w:rsid w:val="00603A36"/>
    <w:rsid w:val="006150EA"/>
    <w:rsid w:val="0061565E"/>
    <w:rsid w:val="00645A0F"/>
    <w:rsid w:val="00647515"/>
    <w:rsid w:val="00657160"/>
    <w:rsid w:val="006710CC"/>
    <w:rsid w:val="00677852"/>
    <w:rsid w:val="00677EE6"/>
    <w:rsid w:val="006A20D1"/>
    <w:rsid w:val="006E0CD9"/>
    <w:rsid w:val="006E39BC"/>
    <w:rsid w:val="006F4BFC"/>
    <w:rsid w:val="00705613"/>
    <w:rsid w:val="0071125A"/>
    <w:rsid w:val="007323EE"/>
    <w:rsid w:val="00734717"/>
    <w:rsid w:val="007443C7"/>
    <w:rsid w:val="00744BC2"/>
    <w:rsid w:val="00765F3C"/>
    <w:rsid w:val="0077698D"/>
    <w:rsid w:val="007A499E"/>
    <w:rsid w:val="007C08B9"/>
    <w:rsid w:val="007C4942"/>
    <w:rsid w:val="007D7E27"/>
    <w:rsid w:val="007E5DC1"/>
    <w:rsid w:val="00811184"/>
    <w:rsid w:val="008A4C90"/>
    <w:rsid w:val="008D4E74"/>
    <w:rsid w:val="008F074C"/>
    <w:rsid w:val="00951282"/>
    <w:rsid w:val="00993E45"/>
    <w:rsid w:val="009A35FC"/>
    <w:rsid w:val="009A6BA8"/>
    <w:rsid w:val="009D131A"/>
    <w:rsid w:val="009D73F0"/>
    <w:rsid w:val="00A10DD0"/>
    <w:rsid w:val="00A16C03"/>
    <w:rsid w:val="00A530F5"/>
    <w:rsid w:val="00A56998"/>
    <w:rsid w:val="00A60894"/>
    <w:rsid w:val="00A64888"/>
    <w:rsid w:val="00A6647C"/>
    <w:rsid w:val="00B1597B"/>
    <w:rsid w:val="00B226AA"/>
    <w:rsid w:val="00B3156A"/>
    <w:rsid w:val="00B315F0"/>
    <w:rsid w:val="00B53C90"/>
    <w:rsid w:val="00B67959"/>
    <w:rsid w:val="00B74EA6"/>
    <w:rsid w:val="00B75174"/>
    <w:rsid w:val="00B7528A"/>
    <w:rsid w:val="00B94688"/>
    <w:rsid w:val="00B97FD1"/>
    <w:rsid w:val="00BA4F52"/>
    <w:rsid w:val="00BB11E0"/>
    <w:rsid w:val="00BF2CBF"/>
    <w:rsid w:val="00C22CAD"/>
    <w:rsid w:val="00CE0859"/>
    <w:rsid w:val="00CE4FCA"/>
    <w:rsid w:val="00D25B65"/>
    <w:rsid w:val="00D269D8"/>
    <w:rsid w:val="00D77990"/>
    <w:rsid w:val="00D81C90"/>
    <w:rsid w:val="00D97901"/>
    <w:rsid w:val="00DB0913"/>
    <w:rsid w:val="00DB1783"/>
    <w:rsid w:val="00DB1923"/>
    <w:rsid w:val="00DB7407"/>
    <w:rsid w:val="00DC6781"/>
    <w:rsid w:val="00E04F14"/>
    <w:rsid w:val="00E35ED2"/>
    <w:rsid w:val="00E76384"/>
    <w:rsid w:val="00E828CB"/>
    <w:rsid w:val="00E83294"/>
    <w:rsid w:val="00E9027E"/>
    <w:rsid w:val="00E91D67"/>
    <w:rsid w:val="00E95B17"/>
    <w:rsid w:val="00ED6CB4"/>
    <w:rsid w:val="00EE2F28"/>
    <w:rsid w:val="00EF045C"/>
    <w:rsid w:val="00F115F4"/>
    <w:rsid w:val="00F30A5A"/>
    <w:rsid w:val="00F46958"/>
    <w:rsid w:val="00F62F83"/>
    <w:rsid w:val="00F633E8"/>
    <w:rsid w:val="00FA47D5"/>
    <w:rsid w:val="00FA78EA"/>
    <w:rsid w:val="00FB62F9"/>
    <w:rsid w:val="00FC2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B2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330"/>
    <w:pPr>
      <w:keepNext/>
      <w:keepLines/>
      <w:spacing w:before="240" w:after="120" w:line="240" w:lineRule="auto"/>
      <w:outlineLvl w:val="0"/>
    </w:pPr>
    <w:rPr>
      <w:rFonts w:ascii="Calibri" w:eastAsiaTheme="majorEastAsia" w:hAnsi="Calibri" w:cstheme="majorBidi"/>
      <w:b/>
      <w:bCs/>
      <w:color w:val="0F243E" w:themeColor="tex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rsid w:val="00CE0859"/>
    <w:pPr>
      <w:numPr>
        <w:numId w:val="1"/>
      </w:numPr>
      <w:spacing w:after="120" w:line="240" w:lineRule="auto"/>
    </w:pPr>
  </w:style>
  <w:style w:type="character" w:customStyle="1" w:styleId="BulletChar">
    <w:name w:val="Bullet Char"/>
    <w:basedOn w:val="DefaultParagraphFont"/>
    <w:link w:val="Bullet"/>
    <w:rsid w:val="00CE0859"/>
  </w:style>
  <w:style w:type="paragraph" w:customStyle="1" w:styleId="Dash">
    <w:name w:val="Dash"/>
    <w:basedOn w:val="Normal"/>
    <w:link w:val="DashChar"/>
    <w:rsid w:val="00CE0859"/>
    <w:pPr>
      <w:numPr>
        <w:ilvl w:val="1"/>
        <w:numId w:val="1"/>
      </w:numPr>
      <w:spacing w:after="120" w:line="240" w:lineRule="auto"/>
    </w:pPr>
  </w:style>
  <w:style w:type="character" w:customStyle="1" w:styleId="DashChar">
    <w:name w:val="Dash Char"/>
    <w:basedOn w:val="DefaultParagraphFont"/>
    <w:link w:val="Dash"/>
    <w:rsid w:val="00CE0859"/>
  </w:style>
  <w:style w:type="paragraph" w:customStyle="1" w:styleId="DoubleDot">
    <w:name w:val="Double Dot"/>
    <w:basedOn w:val="Normal"/>
    <w:link w:val="DoubleDotChar"/>
    <w:rsid w:val="00CE0859"/>
    <w:pPr>
      <w:numPr>
        <w:ilvl w:val="2"/>
        <w:numId w:val="1"/>
      </w:numPr>
      <w:spacing w:after="120" w:line="240" w:lineRule="auto"/>
    </w:pPr>
  </w:style>
  <w:style w:type="character" w:customStyle="1" w:styleId="DoubleDotChar">
    <w:name w:val="Double Dot Char"/>
    <w:basedOn w:val="DefaultParagraphFont"/>
    <w:link w:val="DoubleDot"/>
    <w:rsid w:val="00CE0859"/>
  </w:style>
  <w:style w:type="table" w:styleId="TableGrid">
    <w:name w:val="Table Grid"/>
    <w:basedOn w:val="TableNormal"/>
    <w:uiPriority w:val="59"/>
    <w:rsid w:val="0025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AE"/>
    <w:rPr>
      <w:rFonts w:ascii="Tahoma" w:hAnsi="Tahoma" w:cs="Tahoma"/>
      <w:sz w:val="16"/>
      <w:szCs w:val="16"/>
    </w:rPr>
  </w:style>
  <w:style w:type="character" w:styleId="CommentReference">
    <w:name w:val="annotation reference"/>
    <w:basedOn w:val="DefaultParagraphFont"/>
    <w:uiPriority w:val="99"/>
    <w:semiHidden/>
    <w:unhideWhenUsed/>
    <w:rsid w:val="00296177"/>
    <w:rPr>
      <w:sz w:val="16"/>
      <w:szCs w:val="16"/>
    </w:rPr>
  </w:style>
  <w:style w:type="paragraph" w:styleId="CommentText">
    <w:name w:val="annotation text"/>
    <w:basedOn w:val="Normal"/>
    <w:link w:val="CommentTextChar"/>
    <w:uiPriority w:val="99"/>
    <w:semiHidden/>
    <w:unhideWhenUsed/>
    <w:rsid w:val="00296177"/>
    <w:pPr>
      <w:spacing w:line="240" w:lineRule="auto"/>
    </w:pPr>
    <w:rPr>
      <w:sz w:val="20"/>
      <w:szCs w:val="20"/>
    </w:rPr>
  </w:style>
  <w:style w:type="character" w:customStyle="1" w:styleId="CommentTextChar">
    <w:name w:val="Comment Text Char"/>
    <w:basedOn w:val="DefaultParagraphFont"/>
    <w:link w:val="CommentText"/>
    <w:uiPriority w:val="99"/>
    <w:semiHidden/>
    <w:rsid w:val="00296177"/>
    <w:rPr>
      <w:sz w:val="20"/>
      <w:szCs w:val="20"/>
    </w:rPr>
  </w:style>
  <w:style w:type="paragraph" w:styleId="CommentSubject">
    <w:name w:val="annotation subject"/>
    <w:basedOn w:val="CommentText"/>
    <w:next w:val="CommentText"/>
    <w:link w:val="CommentSubjectChar"/>
    <w:uiPriority w:val="99"/>
    <w:semiHidden/>
    <w:unhideWhenUsed/>
    <w:rsid w:val="00296177"/>
    <w:rPr>
      <w:b/>
      <w:bCs/>
    </w:rPr>
  </w:style>
  <w:style w:type="character" w:customStyle="1" w:styleId="CommentSubjectChar">
    <w:name w:val="Comment Subject Char"/>
    <w:basedOn w:val="CommentTextChar"/>
    <w:link w:val="CommentSubject"/>
    <w:uiPriority w:val="99"/>
    <w:semiHidden/>
    <w:rsid w:val="00296177"/>
    <w:rPr>
      <w:b/>
      <w:bCs/>
      <w:sz w:val="20"/>
      <w:szCs w:val="20"/>
    </w:rPr>
  </w:style>
  <w:style w:type="paragraph" w:styleId="Header">
    <w:name w:val="header"/>
    <w:basedOn w:val="Normal"/>
    <w:link w:val="HeaderChar"/>
    <w:uiPriority w:val="99"/>
    <w:unhideWhenUsed/>
    <w:rsid w:val="00E91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67"/>
  </w:style>
  <w:style w:type="paragraph" w:styleId="Footer">
    <w:name w:val="footer"/>
    <w:basedOn w:val="Normal"/>
    <w:link w:val="FooterChar"/>
    <w:uiPriority w:val="99"/>
    <w:unhideWhenUsed/>
    <w:rsid w:val="00E91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67"/>
  </w:style>
  <w:style w:type="character" w:customStyle="1" w:styleId="Heading1Char">
    <w:name w:val="Heading 1 Char"/>
    <w:basedOn w:val="DefaultParagraphFont"/>
    <w:link w:val="Heading1"/>
    <w:uiPriority w:val="9"/>
    <w:rsid w:val="00541330"/>
    <w:rPr>
      <w:rFonts w:ascii="Calibri" w:eastAsiaTheme="majorEastAsia" w:hAnsi="Calibri" w:cstheme="majorBidi"/>
      <w:b/>
      <w:bCs/>
      <w:color w:val="0F243E" w:themeColor="text2" w:themeShade="80"/>
      <w:sz w:val="28"/>
      <w:szCs w:val="28"/>
    </w:rPr>
  </w:style>
  <w:style w:type="character" w:styleId="Hyperlink">
    <w:name w:val="Hyperlink"/>
    <w:basedOn w:val="DefaultParagraphFont"/>
    <w:uiPriority w:val="99"/>
    <w:unhideWhenUsed/>
    <w:rsid w:val="00A16C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330"/>
    <w:pPr>
      <w:keepNext/>
      <w:keepLines/>
      <w:spacing w:before="240" w:after="120" w:line="240" w:lineRule="auto"/>
      <w:outlineLvl w:val="0"/>
    </w:pPr>
    <w:rPr>
      <w:rFonts w:ascii="Calibri" w:eastAsiaTheme="majorEastAsia" w:hAnsi="Calibri" w:cstheme="majorBidi"/>
      <w:b/>
      <w:bCs/>
      <w:color w:val="0F243E" w:themeColor="tex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rsid w:val="00CE0859"/>
    <w:pPr>
      <w:numPr>
        <w:numId w:val="1"/>
      </w:numPr>
      <w:spacing w:after="120" w:line="240" w:lineRule="auto"/>
    </w:pPr>
  </w:style>
  <w:style w:type="character" w:customStyle="1" w:styleId="BulletChar">
    <w:name w:val="Bullet Char"/>
    <w:basedOn w:val="DefaultParagraphFont"/>
    <w:link w:val="Bullet"/>
    <w:rsid w:val="00CE0859"/>
  </w:style>
  <w:style w:type="paragraph" w:customStyle="1" w:styleId="Dash">
    <w:name w:val="Dash"/>
    <w:basedOn w:val="Normal"/>
    <w:link w:val="DashChar"/>
    <w:rsid w:val="00CE0859"/>
    <w:pPr>
      <w:numPr>
        <w:ilvl w:val="1"/>
        <w:numId w:val="1"/>
      </w:numPr>
      <w:spacing w:after="120" w:line="240" w:lineRule="auto"/>
    </w:pPr>
  </w:style>
  <w:style w:type="character" w:customStyle="1" w:styleId="DashChar">
    <w:name w:val="Dash Char"/>
    <w:basedOn w:val="DefaultParagraphFont"/>
    <w:link w:val="Dash"/>
    <w:rsid w:val="00CE0859"/>
  </w:style>
  <w:style w:type="paragraph" w:customStyle="1" w:styleId="DoubleDot">
    <w:name w:val="Double Dot"/>
    <w:basedOn w:val="Normal"/>
    <w:link w:val="DoubleDotChar"/>
    <w:rsid w:val="00CE0859"/>
    <w:pPr>
      <w:numPr>
        <w:ilvl w:val="2"/>
        <w:numId w:val="1"/>
      </w:numPr>
      <w:spacing w:after="120" w:line="240" w:lineRule="auto"/>
    </w:pPr>
  </w:style>
  <w:style w:type="character" w:customStyle="1" w:styleId="DoubleDotChar">
    <w:name w:val="Double Dot Char"/>
    <w:basedOn w:val="DefaultParagraphFont"/>
    <w:link w:val="DoubleDot"/>
    <w:rsid w:val="00CE0859"/>
  </w:style>
  <w:style w:type="table" w:styleId="TableGrid">
    <w:name w:val="Table Grid"/>
    <w:basedOn w:val="TableNormal"/>
    <w:uiPriority w:val="59"/>
    <w:rsid w:val="0025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AE"/>
    <w:rPr>
      <w:rFonts w:ascii="Tahoma" w:hAnsi="Tahoma" w:cs="Tahoma"/>
      <w:sz w:val="16"/>
      <w:szCs w:val="16"/>
    </w:rPr>
  </w:style>
  <w:style w:type="character" w:styleId="CommentReference">
    <w:name w:val="annotation reference"/>
    <w:basedOn w:val="DefaultParagraphFont"/>
    <w:uiPriority w:val="99"/>
    <w:semiHidden/>
    <w:unhideWhenUsed/>
    <w:rsid w:val="00296177"/>
    <w:rPr>
      <w:sz w:val="16"/>
      <w:szCs w:val="16"/>
    </w:rPr>
  </w:style>
  <w:style w:type="paragraph" w:styleId="CommentText">
    <w:name w:val="annotation text"/>
    <w:basedOn w:val="Normal"/>
    <w:link w:val="CommentTextChar"/>
    <w:uiPriority w:val="99"/>
    <w:semiHidden/>
    <w:unhideWhenUsed/>
    <w:rsid w:val="00296177"/>
    <w:pPr>
      <w:spacing w:line="240" w:lineRule="auto"/>
    </w:pPr>
    <w:rPr>
      <w:sz w:val="20"/>
      <w:szCs w:val="20"/>
    </w:rPr>
  </w:style>
  <w:style w:type="character" w:customStyle="1" w:styleId="CommentTextChar">
    <w:name w:val="Comment Text Char"/>
    <w:basedOn w:val="DefaultParagraphFont"/>
    <w:link w:val="CommentText"/>
    <w:uiPriority w:val="99"/>
    <w:semiHidden/>
    <w:rsid w:val="00296177"/>
    <w:rPr>
      <w:sz w:val="20"/>
      <w:szCs w:val="20"/>
    </w:rPr>
  </w:style>
  <w:style w:type="paragraph" w:styleId="CommentSubject">
    <w:name w:val="annotation subject"/>
    <w:basedOn w:val="CommentText"/>
    <w:next w:val="CommentText"/>
    <w:link w:val="CommentSubjectChar"/>
    <w:uiPriority w:val="99"/>
    <w:semiHidden/>
    <w:unhideWhenUsed/>
    <w:rsid w:val="00296177"/>
    <w:rPr>
      <w:b/>
      <w:bCs/>
    </w:rPr>
  </w:style>
  <w:style w:type="character" w:customStyle="1" w:styleId="CommentSubjectChar">
    <w:name w:val="Comment Subject Char"/>
    <w:basedOn w:val="CommentTextChar"/>
    <w:link w:val="CommentSubject"/>
    <w:uiPriority w:val="99"/>
    <w:semiHidden/>
    <w:rsid w:val="00296177"/>
    <w:rPr>
      <w:b/>
      <w:bCs/>
      <w:sz w:val="20"/>
      <w:szCs w:val="20"/>
    </w:rPr>
  </w:style>
  <w:style w:type="paragraph" w:styleId="Header">
    <w:name w:val="header"/>
    <w:basedOn w:val="Normal"/>
    <w:link w:val="HeaderChar"/>
    <w:uiPriority w:val="99"/>
    <w:unhideWhenUsed/>
    <w:rsid w:val="00E91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67"/>
  </w:style>
  <w:style w:type="paragraph" w:styleId="Footer">
    <w:name w:val="footer"/>
    <w:basedOn w:val="Normal"/>
    <w:link w:val="FooterChar"/>
    <w:uiPriority w:val="99"/>
    <w:unhideWhenUsed/>
    <w:rsid w:val="00E91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67"/>
  </w:style>
  <w:style w:type="character" w:customStyle="1" w:styleId="Heading1Char">
    <w:name w:val="Heading 1 Char"/>
    <w:basedOn w:val="DefaultParagraphFont"/>
    <w:link w:val="Heading1"/>
    <w:uiPriority w:val="9"/>
    <w:rsid w:val="00541330"/>
    <w:rPr>
      <w:rFonts w:ascii="Calibri" w:eastAsiaTheme="majorEastAsia" w:hAnsi="Calibri" w:cstheme="majorBidi"/>
      <w:b/>
      <w:bCs/>
      <w:color w:val="0F243E" w:themeColor="text2" w:themeShade="80"/>
      <w:sz w:val="28"/>
      <w:szCs w:val="28"/>
    </w:rPr>
  </w:style>
  <w:style w:type="character" w:styleId="Hyperlink">
    <w:name w:val="Hyperlink"/>
    <w:basedOn w:val="DefaultParagraphFont"/>
    <w:uiPriority w:val="99"/>
    <w:unhideWhenUsed/>
    <w:rsid w:val="00A16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easury.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1F3D6D5B0CB19B459259E1804AD81CA6" ma:contentTypeVersion="4093" ma:contentTypeDescription="" ma:contentTypeScope="" ma:versionID="845513228163838758206453c9467019">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a2867dbdf2dbb76eec62b2b9eb132101"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9;#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TaxCatchAll xmlns="e544e5cc-ab70-42e1-849e-1a0f8bb1f4ef">
      <Value>29</Value>
    </TaxCatchAll>
    <_dlc_DocId xmlns="e544e5cc-ab70-42e1-849e-1a0f8bb1f4ef">2017FG-316-444</_dlc_DocId>
    <_dlc_DocIdUrl xmlns="e544e5cc-ab70-42e1-849e-1a0f8bb1f4ef">
      <Url>http://tweb/sites/fg/ripd/accum/_layouts/15/DocIdRedir.aspx?ID=2017FG-316-444</Url>
      <Description>2017FG-316-444</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B03E-2E85-431D-8C1A-17B221F1E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F5192-CD50-4600-B121-7672F0E648E9}">
  <ds:schemaRefs>
    <ds:schemaRef ds:uri="http://schemas.microsoft.com/sharepoint/v3/contenttype/forms"/>
  </ds:schemaRefs>
</ds:datastoreItem>
</file>

<file path=customXml/itemProps3.xml><?xml version="1.0" encoding="utf-8"?>
<ds:datastoreItem xmlns:ds="http://schemas.openxmlformats.org/officeDocument/2006/customXml" ds:itemID="{973C7FFF-8A80-4B34-B47F-0AE9768961F9}">
  <ds:schemaRefs>
    <ds:schemaRef ds:uri="http://schemas.microsoft.com/office/2006/documentManagement/types"/>
    <ds:schemaRef ds:uri="http://purl.org/dc/elements/1.1/"/>
    <ds:schemaRef ds:uri="http://schemas.microsoft.com/sharepoint/v4"/>
    <ds:schemaRef ds:uri="e544e5cc-ab70-42e1-849e-1a0f8bb1f4ef"/>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34709A05-207B-4458-BF7E-5E90F069B5DF}">
  <ds:schemaRefs>
    <ds:schemaRef ds:uri="office.server.policy"/>
  </ds:schemaRefs>
</ds:datastoreItem>
</file>

<file path=customXml/itemProps5.xml><?xml version="1.0" encoding="utf-8"?>
<ds:datastoreItem xmlns:ds="http://schemas.openxmlformats.org/officeDocument/2006/customXml" ds:itemID="{D4D3FED7-BC86-4390-A06F-871697F29789}">
  <ds:schemaRefs>
    <ds:schemaRef ds:uri="http://schemas.microsoft.com/sharepoint/events"/>
  </ds:schemaRefs>
</ds:datastoreItem>
</file>

<file path=customXml/itemProps6.xml><?xml version="1.0" encoding="utf-8"?>
<ds:datastoreItem xmlns:ds="http://schemas.openxmlformats.org/officeDocument/2006/customXml" ds:itemID="{229DB9A0-941C-4264-AEEE-3CAB1D73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Pages>
  <Words>969</Words>
  <Characters>4956</Characters>
  <Application>Microsoft Office Word</Application>
  <DocSecurity>0</DocSecurity>
  <Lines>120</Lines>
  <Paragraphs>39</Paragraphs>
  <ScaleCrop>false</ScaleCrop>
  <HeadingPairs>
    <vt:vector size="2" baseType="variant">
      <vt:variant>
        <vt:lpstr>Title</vt:lpstr>
      </vt:variant>
      <vt:variant>
        <vt:i4>1</vt:i4>
      </vt:variant>
    </vt:vector>
  </HeadingPairs>
  <TitlesOfParts>
    <vt:vector size="1" baseType="lpstr">
      <vt:lpstr>Reducting barriers to downsizing</vt:lpstr>
    </vt:vector>
  </TitlesOfParts>
  <Company>Australian Government - The Treasury</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Reducting barriers to downsizing</dc:title>
  <dc:creator>The Treasury </dc:creator>
  <cp:lastModifiedBy>Hill, Christine</cp:lastModifiedBy>
  <cp:revision>29</cp:revision>
  <cp:lastPrinted>2017-05-11T06:35:00Z</cp:lastPrinted>
  <dcterms:created xsi:type="dcterms:W3CDTF">2017-07-11T00:49:00Z</dcterms:created>
  <dcterms:modified xsi:type="dcterms:W3CDTF">2017-07-21T00:53:00Z</dcterms:modified>
</cp:coreProperties>
</file>