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E4C" w:rsidRDefault="00E02E4C">
      <w:pPr>
        <w:pStyle w:val="Heading2"/>
        <w:jc w:val="center"/>
      </w:pPr>
      <w:bookmarkStart w:id="0" w:name="_GoBack"/>
      <w:bookmarkEnd w:id="0"/>
      <w:r>
        <w:t>statement of estimated payments to the states and territories</w:t>
      </w:r>
    </w:p>
    <w:p w:rsidR="00E02E4C" w:rsidRDefault="00E02E4C">
      <w:pPr>
        <w:pStyle w:val="Heading2"/>
        <w:jc w:val="center"/>
      </w:pPr>
      <w:r>
        <w:t xml:space="preserve">provided to the </w:t>
      </w:r>
    </w:p>
    <w:p w:rsidR="00E02E4C" w:rsidRDefault="00E02E4C">
      <w:pPr>
        <w:pStyle w:val="Heading2"/>
        <w:ind w:left="-180" w:right="-176"/>
        <w:jc w:val="center"/>
      </w:pPr>
      <w:r>
        <w:t>ministerial council for commonwealth-state financial relations</w:t>
      </w:r>
    </w:p>
    <w:p w:rsidR="00E02E4C" w:rsidRDefault="00E02E4C">
      <w:pPr>
        <w:pStyle w:val="Heading2"/>
        <w:jc w:val="center"/>
      </w:pPr>
      <w:r>
        <w:t>23 march 2005</w:t>
      </w:r>
    </w:p>
    <w:p w:rsidR="00E02E4C" w:rsidRDefault="00E02E4C">
      <w:pPr>
        <w:ind w:left="-180"/>
      </w:pPr>
      <w:r>
        <w:t xml:space="preserve">Under the terms of the </w:t>
      </w:r>
      <w:r>
        <w:rPr>
          <w:i/>
          <w:iCs/>
        </w:rPr>
        <w:t xml:space="preserve">A New Tax System (Commonwealth-State Financial Arrangements) Act 1999 </w:t>
      </w:r>
      <w:r>
        <w:t>(the Act), the states and territories (the states) will receive all of the revenue raised by the goods and service tax (GST) from 1 July 2000.  GST revenue will be distributed amongst the states on the basis of horizontal fiscal equalisation (HFE) principles.</w:t>
      </w:r>
    </w:p>
    <w:p w:rsidR="00E02E4C" w:rsidRPr="00EF6610" w:rsidRDefault="00E02E4C">
      <w:pPr>
        <w:ind w:left="-180"/>
      </w:pPr>
      <w:r>
        <w:t>Chart 1 shows each jurisdiction’s share of GST revenue in 2005-06.  Table A shows each state’s share of GST revenue since the introduction of T</w:t>
      </w:r>
      <w:r w:rsidRPr="00241808">
        <w:t>he New Tax System</w:t>
      </w:r>
      <w:r>
        <w:t xml:space="preserve"> in 2000-01.  This table also shows the increase in GST revenue to each state over the six years, reflecting the fact that the GST is a stable and growing source of revenue for the states.  Total GST revenue estimates are as at the Australian Government’s </w:t>
      </w:r>
      <w:r w:rsidRPr="00241808">
        <w:rPr>
          <w:i/>
          <w:iCs/>
        </w:rPr>
        <w:t>Mid-Year Economic and Fiscal Outlook 2004</w:t>
      </w:r>
      <w:r>
        <w:rPr>
          <w:i/>
          <w:iCs/>
        </w:rPr>
        <w:t>-</w:t>
      </w:r>
      <w:r w:rsidRPr="00241808">
        <w:rPr>
          <w:i/>
          <w:iCs/>
        </w:rPr>
        <w:t>05</w:t>
      </w:r>
      <w:r>
        <w:t xml:space="preserve"> (MYEFO), although state shares have been revised due to updated population estimates and the recommended Commonwealth Grants Commission (CGC) relativities for 2005-06.</w:t>
      </w:r>
    </w:p>
    <w:p w:rsidR="00E02E4C" w:rsidRDefault="00E02E4C">
      <w:pPr>
        <w:ind w:left="-180"/>
      </w:pPr>
      <w:r>
        <w:t>Tables 1 and 2 show the latest available estimates of the Guaranteed Minimum Amount (GMA), GST revenue entitlement, Budget Balancing Assistance (BBA) and states’ gains from tax reform for 2004-05 and 2005-06 respectively.  These estimates will be subject to revision to account for parameter or estimate changes in the 2005-06 Australian Government Budget and state data.  In June 2005, the Australian Government Treasurer will determine the GMA for 2004-05 and the Commissioner of Taxation will determine GST revenue for 2004-05.</w:t>
      </w:r>
    </w:p>
    <w:p w:rsidR="00E02E4C" w:rsidRDefault="00E02E4C">
      <w:pPr>
        <w:ind w:left="-180"/>
      </w:pPr>
      <w:r>
        <w:t>On the basis of the estimates provided in this report, no state will require BBA in 2004-05 or 2005-06 as each state’s share of GST revenue will exceed its GMA.  The states’ gains from tax reform are estimated at $1.9 billion in 2004-05 and $1.5 billion in 2005-06.</w:t>
      </w:r>
    </w:p>
    <w:p w:rsidR="00E02E4C" w:rsidRDefault="00E02E4C">
      <w:pPr>
        <w:ind w:left="-180"/>
      </w:pPr>
      <w:r>
        <w:t>Tables 3 and 4 provide further detail on the estimation of the GMA for each state in 2004</w:t>
      </w:r>
      <w:r>
        <w:noBreakHyphen/>
        <w:t>05 and 2005</w:t>
      </w:r>
      <w:r>
        <w:noBreakHyphen/>
        <w:t>06 respectively.</w:t>
      </w:r>
    </w:p>
    <w:p w:rsidR="00E02E4C" w:rsidRDefault="00E02E4C">
      <w:pPr>
        <w:ind w:left="-180"/>
      </w:pPr>
      <w:r>
        <w:t xml:space="preserve">Table 5 provides details of GST revenue and General Revenue Assistance to the states in </w:t>
      </w:r>
      <w:r>
        <w:br w:type="textWrapping" w:clear="all"/>
        <w:t>2004-05 and 2005-06, including National Competition Policy Payments.</w:t>
      </w:r>
    </w:p>
    <w:p w:rsidR="00E02E4C" w:rsidRDefault="00E02E4C">
      <w:pPr>
        <w:ind w:left="-180"/>
      </w:pPr>
      <w:r>
        <w:t xml:space="preserve">Tables 6 and 7 provide further details of the distribution of GST revenue.  The incorporation of the relativities recommended by the CGC should not be interpreted as an endorsement of those relativities by the Australian Government Treasurer.  In accordance with </w:t>
      </w:r>
      <w:r w:rsidRPr="00663FF9">
        <w:t xml:space="preserve">the </w:t>
      </w:r>
      <w:r w:rsidRPr="00241808">
        <w:rPr>
          <w:i/>
          <w:iCs/>
        </w:rPr>
        <w:t>Intergovernmental Agreement on the Reform of Commonwealth-State Financial Relations</w:t>
      </w:r>
      <w:r>
        <w:t>, the final relativity factors for each state and territory will be determined by the Australian Government Treasurer after consultation with each state and territory.</w:t>
      </w:r>
    </w:p>
    <w:p w:rsidR="00E02E4C" w:rsidRDefault="00E02E4C">
      <w:pPr>
        <w:ind w:left="-180"/>
      </w:pPr>
      <w:r>
        <w:t>Tables 8 and 9 show MYEFO-consistent estimates of Specific Purpose Payments (SPPs) for 2004</w:t>
      </w:r>
      <w:r>
        <w:noBreakHyphen/>
        <w:t>05 and 2005</w:t>
      </w:r>
      <w:r>
        <w:noBreakHyphen/>
        <w:t>06 on a no-policy change basis.  Detailed estimates of the proposed level of SPPs and their distribution amongst the states in 2004-05 and 2005</w:t>
      </w:r>
      <w:r>
        <w:noBreakHyphen/>
        <w:t>06 will be included in the Australian Government’s 2005-06 Budget Papers.</w:t>
      </w:r>
    </w:p>
    <w:p w:rsidR="00E02E4C" w:rsidRDefault="00E02E4C">
      <w:pPr>
        <w:ind w:left="-180"/>
      </w:pPr>
      <w:r>
        <w:lastRenderedPageBreak/>
        <w:t>Table 10 provides a summary of the states’ total payments for 2004</w:t>
      </w:r>
      <w:r>
        <w:noBreakHyphen/>
        <w:t>05 and 2005-06.</w:t>
      </w:r>
    </w:p>
    <w:p w:rsidR="00E02E4C" w:rsidRDefault="00E02E4C">
      <w:pPr>
        <w:ind w:left="-180"/>
      </w:pPr>
      <w:r>
        <w:t>Attachment A shows the latest available estimates of the GMA, GST revenue entitlement, BBA and states’ gains from tax reform for 2004-05, 2005-06, 2006-07 and 2007-08.  On the basis of these estimates, no state will require BBA in any year as each state’s share of GST revenue will exceed its GMA, with a total gain from tax reform of approximately $2.2 billion in 2006-07 and approximately $3.1 billion in 2007-08.</w:t>
      </w:r>
    </w:p>
    <w:p w:rsidR="00E02E4C" w:rsidRDefault="00E02E4C">
      <w:pPr>
        <w:ind w:left="-180"/>
        <w:sectPr w:rsidR="00E02E4C">
          <w:headerReference w:type="default" r:id="rId7"/>
          <w:headerReference w:type="first" r:id="rId8"/>
          <w:pgSz w:w="11906" w:h="16838"/>
          <w:pgMar w:top="1440" w:right="1361" w:bottom="1440" w:left="1361" w:header="709" w:footer="709" w:gutter="0"/>
          <w:pgNumType w:start="1"/>
          <w:cols w:space="708"/>
          <w:titlePg/>
          <w:docGrid w:linePitch="360"/>
        </w:sectPr>
      </w:pPr>
      <w:r>
        <w:t>Note:  numbers in the tables in this report may not add due to rounding.</w:t>
      </w:r>
    </w:p>
    <w:p w:rsidR="00E02E4C" w:rsidRPr="006D482C" w:rsidRDefault="00D94008">
      <w:pPr>
        <w:ind w:left="-180"/>
        <w:jc w:val="center"/>
      </w:pPr>
      <w:r>
        <w:rPr>
          <w:noProof/>
        </w:rPr>
        <w:lastRenderedPageBreak/>
        <w:drawing>
          <wp:inline distT="0" distB="0" distL="0" distR="0">
            <wp:extent cx="6634480" cy="3115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4480" cy="3115310"/>
                    </a:xfrm>
                    <a:prstGeom prst="rect">
                      <a:avLst/>
                    </a:prstGeom>
                    <a:noFill/>
                    <a:ln>
                      <a:noFill/>
                    </a:ln>
                  </pic:spPr>
                </pic:pic>
              </a:graphicData>
            </a:graphic>
          </wp:inline>
        </w:drawing>
      </w:r>
    </w:p>
    <w:p w:rsidR="00E02E4C" w:rsidRDefault="00E02E4C">
      <w:pPr>
        <w:ind w:left="-180"/>
        <w:jc w:val="center"/>
      </w:pPr>
    </w:p>
    <w:p w:rsidR="00E02E4C" w:rsidRDefault="00D94008">
      <w:pPr>
        <w:ind w:left="-180"/>
        <w:jc w:val="center"/>
      </w:pPr>
      <w:r>
        <w:rPr>
          <w:noProof/>
        </w:rPr>
        <w:drawing>
          <wp:inline distT="0" distB="0" distL="0" distR="0">
            <wp:extent cx="7506335" cy="1807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06335" cy="1807845"/>
                    </a:xfrm>
                    <a:prstGeom prst="rect">
                      <a:avLst/>
                    </a:prstGeom>
                    <a:noFill/>
                    <a:ln>
                      <a:noFill/>
                    </a:ln>
                  </pic:spPr>
                </pic:pic>
              </a:graphicData>
            </a:graphic>
          </wp:inline>
        </w:drawing>
      </w:r>
      <w:r w:rsidR="00E02E4C">
        <w:br w:type="page"/>
      </w:r>
      <w:r>
        <w:rPr>
          <w:noProof/>
        </w:rPr>
        <w:lastRenderedPageBreak/>
        <w:drawing>
          <wp:inline distT="0" distB="0" distL="0" distR="0">
            <wp:extent cx="9101455" cy="1169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01455" cy="1169670"/>
                    </a:xfrm>
                    <a:prstGeom prst="rect">
                      <a:avLst/>
                    </a:prstGeom>
                    <a:noFill/>
                    <a:ln>
                      <a:noFill/>
                    </a:ln>
                  </pic:spPr>
                </pic:pic>
              </a:graphicData>
            </a:graphic>
          </wp:inline>
        </w:drawing>
      </w:r>
    </w:p>
    <w:p w:rsidR="00E02E4C" w:rsidRDefault="00E02E4C">
      <w:pPr>
        <w:ind w:left="-180"/>
        <w:jc w:val="center"/>
      </w:pPr>
    </w:p>
    <w:p w:rsidR="00E02E4C" w:rsidRDefault="00D94008">
      <w:pPr>
        <w:ind w:left="-180"/>
      </w:pPr>
      <w:r>
        <w:rPr>
          <w:noProof/>
        </w:rPr>
        <w:drawing>
          <wp:inline distT="0" distB="0" distL="0" distR="0">
            <wp:extent cx="9101455" cy="1169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01455" cy="1169670"/>
                    </a:xfrm>
                    <a:prstGeom prst="rect">
                      <a:avLst/>
                    </a:prstGeom>
                    <a:noFill/>
                    <a:ln>
                      <a:noFill/>
                    </a:ln>
                  </pic:spPr>
                </pic:pic>
              </a:graphicData>
            </a:graphic>
          </wp:inline>
        </w:drawing>
      </w:r>
    </w:p>
    <w:p w:rsidR="00E02E4C" w:rsidRDefault="00E02E4C">
      <w:pPr>
        <w:ind w:left="-180"/>
      </w:pPr>
    </w:p>
    <w:p w:rsidR="00E02E4C" w:rsidRDefault="00E02E4C">
      <w:pPr>
        <w:ind w:left="-180"/>
      </w:pPr>
    </w:p>
    <w:p w:rsidR="00E02E4C" w:rsidRDefault="00E02E4C">
      <w:pPr>
        <w:ind w:left="-180"/>
      </w:pPr>
      <w:r>
        <w:br w:type="page"/>
      </w:r>
      <w:r w:rsidR="00D94008">
        <w:rPr>
          <w:noProof/>
        </w:rPr>
        <w:lastRenderedPageBreak/>
        <w:drawing>
          <wp:inline distT="0" distB="0" distL="0" distR="0">
            <wp:extent cx="7963535" cy="3753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63535" cy="3753485"/>
                    </a:xfrm>
                    <a:prstGeom prst="rect">
                      <a:avLst/>
                    </a:prstGeom>
                    <a:noFill/>
                    <a:ln>
                      <a:noFill/>
                    </a:ln>
                  </pic:spPr>
                </pic:pic>
              </a:graphicData>
            </a:graphic>
          </wp:inline>
        </w:drawing>
      </w:r>
    </w:p>
    <w:p w:rsidR="00E02E4C" w:rsidRDefault="00E02E4C">
      <w:pPr>
        <w:ind w:left="-180"/>
      </w:pPr>
      <w:r>
        <w:br w:type="page"/>
      </w:r>
      <w:r w:rsidR="00D94008">
        <w:rPr>
          <w:noProof/>
        </w:rPr>
        <w:lastRenderedPageBreak/>
        <w:drawing>
          <wp:inline distT="0" distB="0" distL="0" distR="0">
            <wp:extent cx="7857490" cy="36150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57490" cy="3615055"/>
                    </a:xfrm>
                    <a:prstGeom prst="rect">
                      <a:avLst/>
                    </a:prstGeom>
                    <a:noFill/>
                    <a:ln>
                      <a:noFill/>
                    </a:ln>
                  </pic:spPr>
                </pic:pic>
              </a:graphicData>
            </a:graphic>
          </wp:inline>
        </w:drawing>
      </w:r>
    </w:p>
    <w:p w:rsidR="00E02E4C" w:rsidRDefault="00E02E4C">
      <w:pPr>
        <w:ind w:left="-180"/>
      </w:pPr>
      <w:r>
        <w:br w:type="page"/>
      </w:r>
      <w:r w:rsidR="00D94008">
        <w:rPr>
          <w:noProof/>
        </w:rPr>
        <w:lastRenderedPageBreak/>
        <w:drawing>
          <wp:inline distT="0" distB="0" distL="0" distR="0">
            <wp:extent cx="8814435" cy="34982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14435" cy="3498215"/>
                    </a:xfrm>
                    <a:prstGeom prst="rect">
                      <a:avLst/>
                    </a:prstGeom>
                    <a:noFill/>
                    <a:ln>
                      <a:noFill/>
                    </a:ln>
                  </pic:spPr>
                </pic:pic>
              </a:graphicData>
            </a:graphic>
          </wp:inline>
        </w:drawing>
      </w:r>
    </w:p>
    <w:p w:rsidR="00E02E4C" w:rsidRDefault="00E02E4C">
      <w:pPr>
        <w:ind w:left="-180"/>
      </w:pPr>
      <w:r>
        <w:br w:type="page"/>
      </w:r>
      <w:r w:rsidR="00D94008">
        <w:rPr>
          <w:noProof/>
        </w:rPr>
        <w:lastRenderedPageBreak/>
        <w:drawing>
          <wp:inline distT="0" distB="0" distL="0" distR="0">
            <wp:extent cx="8920480" cy="21583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20480" cy="2158365"/>
                    </a:xfrm>
                    <a:prstGeom prst="rect">
                      <a:avLst/>
                    </a:prstGeom>
                    <a:noFill/>
                    <a:ln>
                      <a:noFill/>
                    </a:ln>
                  </pic:spPr>
                </pic:pic>
              </a:graphicData>
            </a:graphic>
          </wp:inline>
        </w:drawing>
      </w:r>
    </w:p>
    <w:p w:rsidR="00E02E4C" w:rsidRDefault="00E02E4C">
      <w:pPr>
        <w:ind w:left="-180"/>
      </w:pPr>
    </w:p>
    <w:p w:rsidR="00E02E4C" w:rsidRDefault="00D94008">
      <w:pPr>
        <w:ind w:left="-180"/>
      </w:pPr>
      <w:r>
        <w:rPr>
          <w:noProof/>
        </w:rPr>
        <w:drawing>
          <wp:inline distT="0" distB="0" distL="0" distR="0">
            <wp:extent cx="8931275" cy="20948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31275" cy="2094865"/>
                    </a:xfrm>
                    <a:prstGeom prst="rect">
                      <a:avLst/>
                    </a:prstGeom>
                    <a:noFill/>
                    <a:ln>
                      <a:noFill/>
                    </a:ln>
                  </pic:spPr>
                </pic:pic>
              </a:graphicData>
            </a:graphic>
          </wp:inline>
        </w:drawing>
      </w:r>
    </w:p>
    <w:p w:rsidR="00E02E4C" w:rsidRDefault="00E02E4C">
      <w:pPr>
        <w:ind w:left="-180"/>
      </w:pPr>
    </w:p>
    <w:p w:rsidR="00E02E4C" w:rsidRDefault="00E02E4C">
      <w:pPr>
        <w:ind w:left="-180"/>
      </w:pPr>
      <w:r>
        <w:br w:type="page"/>
      </w:r>
      <w:r w:rsidR="00D94008">
        <w:rPr>
          <w:noProof/>
        </w:rPr>
        <w:lastRenderedPageBreak/>
        <w:drawing>
          <wp:inline distT="0" distB="0" distL="0" distR="0">
            <wp:extent cx="7400290" cy="37426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00290" cy="3742690"/>
                    </a:xfrm>
                    <a:prstGeom prst="rect">
                      <a:avLst/>
                    </a:prstGeom>
                    <a:noFill/>
                    <a:ln>
                      <a:noFill/>
                    </a:ln>
                  </pic:spPr>
                </pic:pic>
              </a:graphicData>
            </a:graphic>
          </wp:inline>
        </w:drawing>
      </w:r>
    </w:p>
    <w:p w:rsidR="00E02E4C" w:rsidRDefault="00E02E4C">
      <w:pPr>
        <w:ind w:left="-180"/>
      </w:pPr>
      <w:r>
        <w:br w:type="page"/>
      </w:r>
      <w:r w:rsidR="00D94008">
        <w:rPr>
          <w:noProof/>
        </w:rPr>
        <w:lastRenderedPageBreak/>
        <w:drawing>
          <wp:inline distT="0" distB="0" distL="0" distR="0">
            <wp:extent cx="8420735" cy="3200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20735" cy="3200400"/>
                    </a:xfrm>
                    <a:prstGeom prst="rect">
                      <a:avLst/>
                    </a:prstGeom>
                    <a:noFill/>
                    <a:ln>
                      <a:noFill/>
                    </a:ln>
                  </pic:spPr>
                </pic:pic>
              </a:graphicData>
            </a:graphic>
          </wp:inline>
        </w:drawing>
      </w:r>
    </w:p>
    <w:p w:rsidR="00E02E4C" w:rsidRDefault="00E02E4C">
      <w:pPr>
        <w:ind w:left="-180"/>
        <w:sectPr w:rsidR="00E02E4C">
          <w:headerReference w:type="default" r:id="rId20"/>
          <w:pgSz w:w="16838" w:h="11906" w:orient="landscape" w:code="9"/>
          <w:pgMar w:top="1361" w:right="1440" w:bottom="1361" w:left="1440" w:header="709" w:footer="709" w:gutter="0"/>
          <w:cols w:space="708"/>
          <w:docGrid w:linePitch="360"/>
        </w:sectPr>
      </w:pPr>
      <w:r>
        <w:br w:type="page"/>
      </w:r>
      <w:r w:rsidR="00D94008">
        <w:rPr>
          <w:noProof/>
        </w:rPr>
        <w:lastRenderedPageBreak/>
        <w:drawing>
          <wp:inline distT="0" distB="0" distL="0" distR="0">
            <wp:extent cx="9260840" cy="39020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60840" cy="3902075"/>
                    </a:xfrm>
                    <a:prstGeom prst="rect">
                      <a:avLst/>
                    </a:prstGeom>
                    <a:noFill/>
                    <a:ln>
                      <a:noFill/>
                    </a:ln>
                  </pic:spPr>
                </pic:pic>
              </a:graphicData>
            </a:graphic>
          </wp:inline>
        </w:drawing>
      </w:r>
    </w:p>
    <w:p w:rsidR="00E02E4C" w:rsidRDefault="00D94008">
      <w:pPr>
        <w:ind w:left="-180"/>
        <w:rPr>
          <w:sz w:val="2"/>
          <w:szCs w:val="2"/>
        </w:rPr>
      </w:pPr>
      <w:r w:rsidRPr="00390111">
        <w:rPr>
          <w:noProof/>
          <w:sz w:val="2"/>
          <w:szCs w:val="2"/>
        </w:rPr>
        <w:lastRenderedPageBreak/>
        <w:drawing>
          <wp:inline distT="0" distB="0" distL="0" distR="0">
            <wp:extent cx="9303385" cy="57842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03385" cy="5784215"/>
                    </a:xfrm>
                    <a:prstGeom prst="rect">
                      <a:avLst/>
                    </a:prstGeom>
                    <a:noFill/>
                    <a:ln>
                      <a:noFill/>
                    </a:ln>
                  </pic:spPr>
                </pic:pic>
              </a:graphicData>
            </a:graphic>
          </wp:inline>
        </w:drawing>
      </w:r>
    </w:p>
    <w:sectPr w:rsidR="00E02E4C">
      <w:headerReference w:type="first" r:id="rId23"/>
      <w:pgSz w:w="16840" w:h="11907" w:orient="landscape" w:code="9"/>
      <w:pgMar w:top="1134" w:right="124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E4C" w:rsidRDefault="00E02E4C">
      <w:r>
        <w:separator/>
      </w:r>
    </w:p>
  </w:endnote>
  <w:endnote w:type="continuationSeparator" w:id="0">
    <w:p w:rsidR="00E02E4C" w:rsidRDefault="00E0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E4C" w:rsidRDefault="00E02E4C">
      <w:r>
        <w:separator/>
      </w:r>
    </w:p>
  </w:footnote>
  <w:footnote w:type="continuationSeparator" w:id="0">
    <w:p w:rsidR="00E02E4C" w:rsidRDefault="00E02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4C" w:rsidRDefault="00E02E4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4008">
      <w:rPr>
        <w:rStyle w:val="PageNumber"/>
        <w:noProof/>
      </w:rPr>
      <w:t>2</w:t>
    </w:r>
    <w:r>
      <w:rPr>
        <w:rStyle w:val="PageNumber"/>
      </w:rPr>
      <w:fldChar w:fldCharType="end"/>
    </w:r>
  </w:p>
  <w:p w:rsidR="00E02E4C" w:rsidRDefault="00E02E4C">
    <w:pPr>
      <w:pStyle w:val="Header"/>
      <w:jc w:val="center"/>
      <w:rPr>
        <w:b w:val="0"/>
        <w:bCs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4C" w:rsidRPr="00207FE7" w:rsidRDefault="00E02E4C">
    <w:pPr>
      <w:pStyle w:val="Header"/>
      <w:jc w:val="right"/>
    </w:pPr>
    <w:r w:rsidRPr="00207FE7">
      <w:t>ATTACHMENT 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4C" w:rsidRDefault="00E02E4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4008">
      <w:rPr>
        <w:rStyle w:val="PageNumber"/>
        <w:noProof/>
      </w:rPr>
      <w:t>11</w:t>
    </w:r>
    <w:r>
      <w:rPr>
        <w:rStyle w:val="PageNumber"/>
      </w:rPr>
      <w:fldChar w:fldCharType="end"/>
    </w:r>
  </w:p>
  <w:p w:rsidR="00E02E4C" w:rsidRDefault="00E02E4C">
    <w:pPr>
      <w:pStyle w:val="Header"/>
      <w:rPr>
        <w:b w:val="0"/>
        <w:bCs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4C" w:rsidRDefault="00E02E4C">
    <w:pPr>
      <w:pStyle w:val="Header"/>
      <w:spacing w:after="0"/>
      <w:rPr>
        <w:rStyle w:val="PageNumbe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1F2"/>
    <w:multiLevelType w:val="multilevel"/>
    <w:tmpl w:val="6A02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325BD"/>
    <w:multiLevelType w:val="multilevel"/>
    <w:tmpl w:val="E7F2DBC4"/>
    <w:lvl w:ilvl="0">
      <w:start w:val="1"/>
      <w:numFmt w:val="bullet"/>
      <w:pStyle w:val="Bullet"/>
      <w:lvlText w:val="•"/>
      <w:lvlJc w:val="left"/>
      <w:pPr>
        <w:tabs>
          <w:tab w:val="num" w:pos="567"/>
        </w:tabs>
        <w:ind w:left="567" w:hanging="567"/>
      </w:pPr>
      <w:rPr>
        <w:rFonts w:ascii="Times New Roman" w:hAnsi="Times New Roman"/>
      </w:rPr>
    </w:lvl>
    <w:lvl w:ilvl="1">
      <w:start w:val="1"/>
      <w:numFmt w:val="bullet"/>
      <w:pStyle w:val="Dash"/>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43C111D6"/>
    <w:multiLevelType w:val="multilevel"/>
    <w:tmpl w:val="6A02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246C5"/>
    <w:multiLevelType w:val="singleLevel"/>
    <w:tmpl w:val="73FAD9EE"/>
    <w:name w:val="StandardBulletedList"/>
    <w:lvl w:ilvl="0">
      <w:start w:val="1"/>
      <w:numFmt w:val="lowerLetter"/>
      <w:lvlText w:val="(%1)"/>
      <w:lvlJc w:val="left"/>
      <w:pPr>
        <w:tabs>
          <w:tab w:val="num" w:pos="1137"/>
        </w:tabs>
        <w:ind w:left="1137" w:hanging="570"/>
      </w:pPr>
      <w:rPr>
        <w:rFonts w:cs="Times New Roman" w:hint="default"/>
      </w:rPr>
    </w:lvl>
  </w:abstractNum>
  <w:abstractNum w:abstractNumId="4" w15:restartNumberingAfterBreak="0">
    <w:nsid w:val="6FAA2F59"/>
    <w:multiLevelType w:val="singleLevel"/>
    <w:tmpl w:val="717E8EAA"/>
    <w:lvl w:ilvl="0">
      <w:start w:val="1"/>
      <w:numFmt w:val="lowerLetter"/>
      <w:lvlText w:val="(%1)"/>
      <w:lvlJc w:val="left"/>
      <w:pPr>
        <w:tabs>
          <w:tab w:val="num" w:pos="567"/>
        </w:tabs>
        <w:ind w:left="567" w:hanging="567"/>
      </w:pPr>
      <w:rPr>
        <w:rFonts w:cs="Times New Roman"/>
      </w:rPr>
    </w:lvl>
  </w:abstractNum>
  <w:abstractNum w:abstractNumId="5" w15:restartNumberingAfterBreak="0">
    <w:nsid w:val="70617F68"/>
    <w:multiLevelType w:val="multilevel"/>
    <w:tmpl w:val="0C28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8F"/>
    <w:rsid w:val="00002CC2"/>
    <w:rsid w:val="00004F79"/>
    <w:rsid w:val="0000747A"/>
    <w:rsid w:val="00016D8B"/>
    <w:rsid w:val="00020A40"/>
    <w:rsid w:val="000272AE"/>
    <w:rsid w:val="0003035F"/>
    <w:rsid w:val="00040E77"/>
    <w:rsid w:val="00047D41"/>
    <w:rsid w:val="0006103E"/>
    <w:rsid w:val="00063A02"/>
    <w:rsid w:val="0007101E"/>
    <w:rsid w:val="0007319B"/>
    <w:rsid w:val="00077CF0"/>
    <w:rsid w:val="00086BB1"/>
    <w:rsid w:val="00096941"/>
    <w:rsid w:val="000A010C"/>
    <w:rsid w:val="000A19A0"/>
    <w:rsid w:val="000A3D11"/>
    <w:rsid w:val="000A59C7"/>
    <w:rsid w:val="000A7C78"/>
    <w:rsid w:val="000B1F12"/>
    <w:rsid w:val="000B3582"/>
    <w:rsid w:val="000B4DE4"/>
    <w:rsid w:val="000B4FF2"/>
    <w:rsid w:val="000C6C45"/>
    <w:rsid w:val="000D6F3B"/>
    <w:rsid w:val="000E08F5"/>
    <w:rsid w:val="000E1A23"/>
    <w:rsid w:val="000E32DD"/>
    <w:rsid w:val="000E4725"/>
    <w:rsid w:val="000E7E0B"/>
    <w:rsid w:val="000F6BD8"/>
    <w:rsid w:val="001045FD"/>
    <w:rsid w:val="00106454"/>
    <w:rsid w:val="00121D2E"/>
    <w:rsid w:val="00124F60"/>
    <w:rsid w:val="001276C8"/>
    <w:rsid w:val="001322FD"/>
    <w:rsid w:val="00144E30"/>
    <w:rsid w:val="001511CC"/>
    <w:rsid w:val="00162AC9"/>
    <w:rsid w:val="001A72BC"/>
    <w:rsid w:val="001B244B"/>
    <w:rsid w:val="001C3E73"/>
    <w:rsid w:val="001C7D2B"/>
    <w:rsid w:val="001D01D1"/>
    <w:rsid w:val="001D4EBE"/>
    <w:rsid w:val="001E55ED"/>
    <w:rsid w:val="00200BC3"/>
    <w:rsid w:val="00202646"/>
    <w:rsid w:val="00207FE7"/>
    <w:rsid w:val="00212595"/>
    <w:rsid w:val="00212DD0"/>
    <w:rsid w:val="0021754F"/>
    <w:rsid w:val="00230385"/>
    <w:rsid w:val="00234742"/>
    <w:rsid w:val="00237F9C"/>
    <w:rsid w:val="00241808"/>
    <w:rsid w:val="0024519A"/>
    <w:rsid w:val="00263C9D"/>
    <w:rsid w:val="00270DC4"/>
    <w:rsid w:val="00271339"/>
    <w:rsid w:val="00271EF2"/>
    <w:rsid w:val="00280339"/>
    <w:rsid w:val="00284CDE"/>
    <w:rsid w:val="00285BC8"/>
    <w:rsid w:val="002875E5"/>
    <w:rsid w:val="002A0057"/>
    <w:rsid w:val="002A12F2"/>
    <w:rsid w:val="002A2A40"/>
    <w:rsid w:val="002C25FC"/>
    <w:rsid w:val="002C5911"/>
    <w:rsid w:val="002D6EC7"/>
    <w:rsid w:val="002D7CFC"/>
    <w:rsid w:val="002E5C0F"/>
    <w:rsid w:val="00300C2E"/>
    <w:rsid w:val="00305431"/>
    <w:rsid w:val="003070FC"/>
    <w:rsid w:val="003139A6"/>
    <w:rsid w:val="00313FDE"/>
    <w:rsid w:val="00314EA1"/>
    <w:rsid w:val="0031636E"/>
    <w:rsid w:val="00317272"/>
    <w:rsid w:val="00317554"/>
    <w:rsid w:val="0031766E"/>
    <w:rsid w:val="00326230"/>
    <w:rsid w:val="00332AAC"/>
    <w:rsid w:val="003343A4"/>
    <w:rsid w:val="00340BD2"/>
    <w:rsid w:val="0035001C"/>
    <w:rsid w:val="003521C9"/>
    <w:rsid w:val="00353676"/>
    <w:rsid w:val="0035724F"/>
    <w:rsid w:val="00360ABD"/>
    <w:rsid w:val="003646C5"/>
    <w:rsid w:val="00375581"/>
    <w:rsid w:val="003802F6"/>
    <w:rsid w:val="0038782B"/>
    <w:rsid w:val="00390111"/>
    <w:rsid w:val="003A7A91"/>
    <w:rsid w:val="003B34D6"/>
    <w:rsid w:val="003B4DA2"/>
    <w:rsid w:val="003B77C7"/>
    <w:rsid w:val="003C2AB0"/>
    <w:rsid w:val="003D60E1"/>
    <w:rsid w:val="003F37DE"/>
    <w:rsid w:val="003F4E1B"/>
    <w:rsid w:val="00401AE0"/>
    <w:rsid w:val="00407727"/>
    <w:rsid w:val="00417986"/>
    <w:rsid w:val="00421945"/>
    <w:rsid w:val="00422E37"/>
    <w:rsid w:val="004277EE"/>
    <w:rsid w:val="00433E88"/>
    <w:rsid w:val="004377F1"/>
    <w:rsid w:val="004404AF"/>
    <w:rsid w:val="00440E48"/>
    <w:rsid w:val="004545C7"/>
    <w:rsid w:val="00454F9A"/>
    <w:rsid w:val="004612A5"/>
    <w:rsid w:val="0046167F"/>
    <w:rsid w:val="00462AD4"/>
    <w:rsid w:val="00464502"/>
    <w:rsid w:val="004742C6"/>
    <w:rsid w:val="00477664"/>
    <w:rsid w:val="0048005E"/>
    <w:rsid w:val="00481C36"/>
    <w:rsid w:val="00486909"/>
    <w:rsid w:val="00487332"/>
    <w:rsid w:val="004A00BB"/>
    <w:rsid w:val="004A141C"/>
    <w:rsid w:val="004C23D1"/>
    <w:rsid w:val="004C361C"/>
    <w:rsid w:val="004D514F"/>
    <w:rsid w:val="004E2F03"/>
    <w:rsid w:val="004E47A6"/>
    <w:rsid w:val="004F07BB"/>
    <w:rsid w:val="004F4EF5"/>
    <w:rsid w:val="004F7A29"/>
    <w:rsid w:val="00500EB2"/>
    <w:rsid w:val="00501239"/>
    <w:rsid w:val="00504155"/>
    <w:rsid w:val="005105BB"/>
    <w:rsid w:val="00516331"/>
    <w:rsid w:val="00530B1B"/>
    <w:rsid w:val="00544B26"/>
    <w:rsid w:val="00553DF1"/>
    <w:rsid w:val="00555BF2"/>
    <w:rsid w:val="005563AA"/>
    <w:rsid w:val="005569CB"/>
    <w:rsid w:val="005636FF"/>
    <w:rsid w:val="00571BEE"/>
    <w:rsid w:val="00575227"/>
    <w:rsid w:val="005838CF"/>
    <w:rsid w:val="00591F7F"/>
    <w:rsid w:val="00595D68"/>
    <w:rsid w:val="00596748"/>
    <w:rsid w:val="005A30B4"/>
    <w:rsid w:val="005C60A8"/>
    <w:rsid w:val="005C6385"/>
    <w:rsid w:val="005C71B6"/>
    <w:rsid w:val="005C749C"/>
    <w:rsid w:val="005D7E65"/>
    <w:rsid w:val="005E286C"/>
    <w:rsid w:val="005E734E"/>
    <w:rsid w:val="005E7C81"/>
    <w:rsid w:val="005F20FF"/>
    <w:rsid w:val="005F3598"/>
    <w:rsid w:val="005F3994"/>
    <w:rsid w:val="005F456D"/>
    <w:rsid w:val="005F72DB"/>
    <w:rsid w:val="005F7D18"/>
    <w:rsid w:val="00603904"/>
    <w:rsid w:val="00610E13"/>
    <w:rsid w:val="00611321"/>
    <w:rsid w:val="0062500B"/>
    <w:rsid w:val="00625E58"/>
    <w:rsid w:val="006310E4"/>
    <w:rsid w:val="00634F22"/>
    <w:rsid w:val="006414FB"/>
    <w:rsid w:val="00645091"/>
    <w:rsid w:val="00663A9B"/>
    <w:rsid w:val="00663FF9"/>
    <w:rsid w:val="00667FA4"/>
    <w:rsid w:val="006700BB"/>
    <w:rsid w:val="0067347B"/>
    <w:rsid w:val="00673512"/>
    <w:rsid w:val="00674A11"/>
    <w:rsid w:val="00675929"/>
    <w:rsid w:val="006823EB"/>
    <w:rsid w:val="0068704C"/>
    <w:rsid w:val="00690824"/>
    <w:rsid w:val="00691B2F"/>
    <w:rsid w:val="00695C38"/>
    <w:rsid w:val="006A5677"/>
    <w:rsid w:val="006B0203"/>
    <w:rsid w:val="006C5DBD"/>
    <w:rsid w:val="006D482C"/>
    <w:rsid w:val="006D4AE9"/>
    <w:rsid w:val="006F49A9"/>
    <w:rsid w:val="00703016"/>
    <w:rsid w:val="007075C8"/>
    <w:rsid w:val="00727FE8"/>
    <w:rsid w:val="00734E4A"/>
    <w:rsid w:val="00745947"/>
    <w:rsid w:val="007508E5"/>
    <w:rsid w:val="00753DED"/>
    <w:rsid w:val="00755922"/>
    <w:rsid w:val="00762282"/>
    <w:rsid w:val="00762A6C"/>
    <w:rsid w:val="00765D1E"/>
    <w:rsid w:val="0076776B"/>
    <w:rsid w:val="00775B2F"/>
    <w:rsid w:val="007813A6"/>
    <w:rsid w:val="007839F0"/>
    <w:rsid w:val="007840B7"/>
    <w:rsid w:val="007854B3"/>
    <w:rsid w:val="007902D0"/>
    <w:rsid w:val="00792DF9"/>
    <w:rsid w:val="00794B06"/>
    <w:rsid w:val="00795575"/>
    <w:rsid w:val="00795CD4"/>
    <w:rsid w:val="007A20E6"/>
    <w:rsid w:val="007C3F54"/>
    <w:rsid w:val="007D2EEB"/>
    <w:rsid w:val="007D53B3"/>
    <w:rsid w:val="007D56B0"/>
    <w:rsid w:val="007D59DF"/>
    <w:rsid w:val="007E1792"/>
    <w:rsid w:val="007E67C2"/>
    <w:rsid w:val="008003F4"/>
    <w:rsid w:val="00803BEB"/>
    <w:rsid w:val="0081186A"/>
    <w:rsid w:val="00812B4D"/>
    <w:rsid w:val="00820F2D"/>
    <w:rsid w:val="00823B25"/>
    <w:rsid w:val="008267E9"/>
    <w:rsid w:val="008727E4"/>
    <w:rsid w:val="008739E6"/>
    <w:rsid w:val="00874CD9"/>
    <w:rsid w:val="00874E17"/>
    <w:rsid w:val="00875BD3"/>
    <w:rsid w:val="00880BD1"/>
    <w:rsid w:val="00881B97"/>
    <w:rsid w:val="0089298E"/>
    <w:rsid w:val="0089598A"/>
    <w:rsid w:val="008A3BE7"/>
    <w:rsid w:val="008A7F96"/>
    <w:rsid w:val="008B48A7"/>
    <w:rsid w:val="008B4CD1"/>
    <w:rsid w:val="008D2489"/>
    <w:rsid w:val="008D3E85"/>
    <w:rsid w:val="00900123"/>
    <w:rsid w:val="00902203"/>
    <w:rsid w:val="009059AD"/>
    <w:rsid w:val="0091687D"/>
    <w:rsid w:val="009209C0"/>
    <w:rsid w:val="0092154A"/>
    <w:rsid w:val="009375C1"/>
    <w:rsid w:val="00944D64"/>
    <w:rsid w:val="0094652B"/>
    <w:rsid w:val="00953B0E"/>
    <w:rsid w:val="0096681A"/>
    <w:rsid w:val="00973695"/>
    <w:rsid w:val="009876F3"/>
    <w:rsid w:val="00994133"/>
    <w:rsid w:val="00997AEA"/>
    <w:rsid w:val="009A4E17"/>
    <w:rsid w:val="009B4D10"/>
    <w:rsid w:val="009B7DCD"/>
    <w:rsid w:val="009C7FE2"/>
    <w:rsid w:val="009D7B60"/>
    <w:rsid w:val="009E6A79"/>
    <w:rsid w:val="009F0CDE"/>
    <w:rsid w:val="009F5F7F"/>
    <w:rsid w:val="009F6344"/>
    <w:rsid w:val="009F634D"/>
    <w:rsid w:val="00A00933"/>
    <w:rsid w:val="00A01CFB"/>
    <w:rsid w:val="00A02F1C"/>
    <w:rsid w:val="00A06AC0"/>
    <w:rsid w:val="00A13201"/>
    <w:rsid w:val="00A14146"/>
    <w:rsid w:val="00A25A86"/>
    <w:rsid w:val="00A25E6D"/>
    <w:rsid w:val="00A2640C"/>
    <w:rsid w:val="00A31ECF"/>
    <w:rsid w:val="00A36FB7"/>
    <w:rsid w:val="00A4113E"/>
    <w:rsid w:val="00A41A01"/>
    <w:rsid w:val="00A47DD1"/>
    <w:rsid w:val="00A57BFA"/>
    <w:rsid w:val="00A60F93"/>
    <w:rsid w:val="00A63F77"/>
    <w:rsid w:val="00A7609B"/>
    <w:rsid w:val="00A908BB"/>
    <w:rsid w:val="00A94B06"/>
    <w:rsid w:val="00A9571C"/>
    <w:rsid w:val="00A95D11"/>
    <w:rsid w:val="00A96BB0"/>
    <w:rsid w:val="00A973B8"/>
    <w:rsid w:val="00AA12CD"/>
    <w:rsid w:val="00AA3D21"/>
    <w:rsid w:val="00AA5610"/>
    <w:rsid w:val="00AB1F98"/>
    <w:rsid w:val="00AB51F6"/>
    <w:rsid w:val="00AF6E42"/>
    <w:rsid w:val="00B04E8E"/>
    <w:rsid w:val="00B2221A"/>
    <w:rsid w:val="00B3618D"/>
    <w:rsid w:val="00B37F61"/>
    <w:rsid w:val="00B41E21"/>
    <w:rsid w:val="00B42E9E"/>
    <w:rsid w:val="00B56D1E"/>
    <w:rsid w:val="00B57A39"/>
    <w:rsid w:val="00B603D1"/>
    <w:rsid w:val="00B66F55"/>
    <w:rsid w:val="00B714C7"/>
    <w:rsid w:val="00B8186D"/>
    <w:rsid w:val="00B872AB"/>
    <w:rsid w:val="00B901E0"/>
    <w:rsid w:val="00B91D4C"/>
    <w:rsid w:val="00B93D4C"/>
    <w:rsid w:val="00B95B80"/>
    <w:rsid w:val="00B95ECC"/>
    <w:rsid w:val="00B963A1"/>
    <w:rsid w:val="00BA07EB"/>
    <w:rsid w:val="00BB07CA"/>
    <w:rsid w:val="00BB1742"/>
    <w:rsid w:val="00BB4C15"/>
    <w:rsid w:val="00BB7D33"/>
    <w:rsid w:val="00BC7758"/>
    <w:rsid w:val="00BD453D"/>
    <w:rsid w:val="00BE2142"/>
    <w:rsid w:val="00BE6399"/>
    <w:rsid w:val="00BF0A44"/>
    <w:rsid w:val="00C00BFD"/>
    <w:rsid w:val="00C01B95"/>
    <w:rsid w:val="00C04C8C"/>
    <w:rsid w:val="00C05913"/>
    <w:rsid w:val="00C061DF"/>
    <w:rsid w:val="00C3384E"/>
    <w:rsid w:val="00C344F7"/>
    <w:rsid w:val="00C3496D"/>
    <w:rsid w:val="00C35987"/>
    <w:rsid w:val="00C37CB2"/>
    <w:rsid w:val="00C40510"/>
    <w:rsid w:val="00C52141"/>
    <w:rsid w:val="00C60321"/>
    <w:rsid w:val="00C61325"/>
    <w:rsid w:val="00C64459"/>
    <w:rsid w:val="00C7113E"/>
    <w:rsid w:val="00C7327E"/>
    <w:rsid w:val="00C8016E"/>
    <w:rsid w:val="00C84759"/>
    <w:rsid w:val="00C935CE"/>
    <w:rsid w:val="00C96F41"/>
    <w:rsid w:val="00CA1A5B"/>
    <w:rsid w:val="00CB47A8"/>
    <w:rsid w:val="00CB7E8A"/>
    <w:rsid w:val="00CC6702"/>
    <w:rsid w:val="00CC7E76"/>
    <w:rsid w:val="00CE3945"/>
    <w:rsid w:val="00CF56FF"/>
    <w:rsid w:val="00D07F72"/>
    <w:rsid w:val="00D1556F"/>
    <w:rsid w:val="00D3214A"/>
    <w:rsid w:val="00D36AE2"/>
    <w:rsid w:val="00D370F3"/>
    <w:rsid w:val="00D421D3"/>
    <w:rsid w:val="00D463A2"/>
    <w:rsid w:val="00D508B5"/>
    <w:rsid w:val="00D60DFF"/>
    <w:rsid w:val="00D7462B"/>
    <w:rsid w:val="00D82E48"/>
    <w:rsid w:val="00D94008"/>
    <w:rsid w:val="00D947C7"/>
    <w:rsid w:val="00D94BD8"/>
    <w:rsid w:val="00DA6CBF"/>
    <w:rsid w:val="00DD0A9F"/>
    <w:rsid w:val="00DD3B10"/>
    <w:rsid w:val="00DE15D8"/>
    <w:rsid w:val="00DE1BC8"/>
    <w:rsid w:val="00DF0CF6"/>
    <w:rsid w:val="00DF7141"/>
    <w:rsid w:val="00E02E4C"/>
    <w:rsid w:val="00E04560"/>
    <w:rsid w:val="00E13350"/>
    <w:rsid w:val="00E308B7"/>
    <w:rsid w:val="00E330A9"/>
    <w:rsid w:val="00E42111"/>
    <w:rsid w:val="00E4322F"/>
    <w:rsid w:val="00E50082"/>
    <w:rsid w:val="00E5066A"/>
    <w:rsid w:val="00E52240"/>
    <w:rsid w:val="00E53E50"/>
    <w:rsid w:val="00E54F77"/>
    <w:rsid w:val="00E71518"/>
    <w:rsid w:val="00E74AB3"/>
    <w:rsid w:val="00E74CDF"/>
    <w:rsid w:val="00E82BA9"/>
    <w:rsid w:val="00E8608F"/>
    <w:rsid w:val="00E91FC7"/>
    <w:rsid w:val="00E95417"/>
    <w:rsid w:val="00EA2B13"/>
    <w:rsid w:val="00EA62B0"/>
    <w:rsid w:val="00EB1812"/>
    <w:rsid w:val="00EB1B68"/>
    <w:rsid w:val="00EB6495"/>
    <w:rsid w:val="00EC67E6"/>
    <w:rsid w:val="00EC7A74"/>
    <w:rsid w:val="00EE1DD9"/>
    <w:rsid w:val="00EE52B3"/>
    <w:rsid w:val="00EF3FDE"/>
    <w:rsid w:val="00EF6610"/>
    <w:rsid w:val="00EF7A9A"/>
    <w:rsid w:val="00F03D58"/>
    <w:rsid w:val="00F10261"/>
    <w:rsid w:val="00F15026"/>
    <w:rsid w:val="00F21C66"/>
    <w:rsid w:val="00F26EEC"/>
    <w:rsid w:val="00F5186F"/>
    <w:rsid w:val="00F5653F"/>
    <w:rsid w:val="00F665A2"/>
    <w:rsid w:val="00F6680A"/>
    <w:rsid w:val="00F71D14"/>
    <w:rsid w:val="00F74F05"/>
    <w:rsid w:val="00F80D86"/>
    <w:rsid w:val="00F84DFD"/>
    <w:rsid w:val="00F862F4"/>
    <w:rsid w:val="00F86C8F"/>
    <w:rsid w:val="00F879C1"/>
    <w:rsid w:val="00F91AAE"/>
    <w:rsid w:val="00F96FAD"/>
    <w:rsid w:val="00FC4CD3"/>
    <w:rsid w:val="00FD5AAD"/>
    <w:rsid w:val="00FE058F"/>
    <w:rsid w:val="00FE6A77"/>
    <w:rsid w:val="00FF3EAC"/>
    <w:rsid w:val="00FF492C"/>
    <w:rsid w:val="00FF60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A5297D-C024-49C1-832A-17DD93EC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240" w:lineRule="auto"/>
    </w:pPr>
    <w:rPr>
      <w:sz w:val="24"/>
      <w:szCs w:val="24"/>
    </w:rPr>
  </w:style>
  <w:style w:type="paragraph" w:styleId="Heading1">
    <w:name w:val="heading 1"/>
    <w:basedOn w:val="Normal"/>
    <w:next w:val="Normal"/>
    <w:link w:val="Heading1Char"/>
    <w:uiPriority w:val="99"/>
    <w:qFormat/>
    <w:pPr>
      <w:keepNext/>
      <w:spacing w:before="240"/>
      <w:outlineLvl w:val="0"/>
    </w:pPr>
    <w:rPr>
      <w:b/>
      <w:bCs/>
      <w:caps/>
      <w:sz w:val="32"/>
      <w:szCs w:val="32"/>
    </w:rPr>
  </w:style>
  <w:style w:type="paragraph" w:styleId="Heading2">
    <w:name w:val="heading 2"/>
    <w:basedOn w:val="Normal"/>
    <w:next w:val="Normal"/>
    <w:link w:val="Heading2Char"/>
    <w:uiPriority w:val="99"/>
    <w:qFormat/>
    <w:pPr>
      <w:keepNext/>
      <w:spacing w:before="120"/>
      <w:outlineLvl w:val="1"/>
    </w:pPr>
    <w:rPr>
      <w:b/>
      <w:bCs/>
      <w:caps/>
    </w:rPr>
  </w:style>
  <w:style w:type="paragraph" w:styleId="Heading3">
    <w:name w:val="heading 3"/>
    <w:basedOn w:val="Normal"/>
    <w:next w:val="Normal"/>
    <w:link w:val="Heading3Char"/>
    <w:uiPriority w:val="99"/>
    <w:qFormat/>
    <w:pPr>
      <w:keepNext/>
      <w:spacing w:before="60"/>
      <w:outlineLvl w:val="2"/>
    </w:pPr>
    <w:rPr>
      <w:b/>
      <w:bCs/>
    </w:rPr>
  </w:style>
  <w:style w:type="paragraph" w:styleId="Heading4">
    <w:name w:val="heading 4"/>
    <w:basedOn w:val="Normal"/>
    <w:next w:val="Normal"/>
    <w:link w:val="Heading4Char"/>
    <w:uiPriority w:val="99"/>
    <w:qFormat/>
    <w:pPr>
      <w:keepNext/>
      <w:pBdr>
        <w:top w:val="single" w:sz="6" w:space="1" w:color="auto"/>
        <w:bottom w:val="single" w:sz="6" w:space="1" w:color="auto"/>
      </w:pBdr>
      <w:ind w:left="1560" w:hanging="1560"/>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customStyle="1" w:styleId="ChartMainHeading">
    <w:name w:val="Chart Main Heading"/>
    <w:basedOn w:val="SinglePara"/>
    <w:next w:val="Normal"/>
    <w:uiPriority w:val="99"/>
    <w:pPr>
      <w:jc w:val="center"/>
    </w:pPr>
    <w:rPr>
      <w:b/>
      <w:bCs/>
      <w:caps/>
    </w:rPr>
  </w:style>
  <w:style w:type="paragraph" w:customStyle="1" w:styleId="ChartSecondHeading">
    <w:name w:val="Chart Second Heading"/>
    <w:basedOn w:val="SinglePara"/>
    <w:next w:val="Normal"/>
    <w:uiPriority w:val="99"/>
    <w:pPr>
      <w:jc w:val="center"/>
    </w:pPr>
    <w:rPr>
      <w:b/>
      <w:bCs/>
    </w:rPr>
  </w:style>
  <w:style w:type="paragraph" w:styleId="EnvelopeAddress">
    <w:name w:val="envelope address"/>
    <w:basedOn w:val="SinglePara"/>
    <w:uiPriority w:val="99"/>
    <w:pPr>
      <w:framePr w:w="7920" w:h="1980" w:hRule="exact" w:hSpace="180" w:wrap="auto" w:hAnchor="page" w:xAlign="center" w:yAlign="bottom"/>
      <w:ind w:left="2880"/>
    </w:pPr>
  </w:style>
  <w:style w:type="paragraph" w:styleId="Footer">
    <w:name w:val="footer"/>
    <w:basedOn w:val="Normal"/>
    <w:link w:val="FooterChar"/>
    <w:uiPriority w:val="99"/>
    <w:pPr>
      <w:tabs>
        <w:tab w:val="center" w:pos="4819"/>
        <w:tab w:val="right" w:pos="9639"/>
      </w:tabs>
    </w:pPr>
  </w:style>
  <w:style w:type="character" w:customStyle="1" w:styleId="FooterChar">
    <w:name w:val="Footer Char"/>
    <w:basedOn w:val="DefaultParagraphFont"/>
    <w:link w:val="Footer"/>
    <w:uiPriority w:val="99"/>
    <w:semiHidden/>
    <w:rPr>
      <w:sz w:val="24"/>
      <w:szCs w:val="24"/>
    </w:rPr>
  </w:style>
  <w:style w:type="paragraph" w:styleId="Header">
    <w:name w:val="header"/>
    <w:basedOn w:val="Normal"/>
    <w:link w:val="HeaderChar"/>
    <w:uiPriority w:val="99"/>
    <w:pPr>
      <w:tabs>
        <w:tab w:val="center" w:pos="4819"/>
        <w:tab w:val="right" w:pos="9639"/>
      </w:tabs>
    </w:pPr>
    <w:rPr>
      <w:b/>
      <w:bCs/>
    </w:rPr>
  </w:style>
  <w:style w:type="character" w:customStyle="1" w:styleId="HeaderChar">
    <w:name w:val="Header Char"/>
    <w:basedOn w:val="DefaultParagraphFont"/>
    <w:link w:val="Header"/>
    <w:uiPriority w:val="99"/>
    <w:semiHidden/>
    <w:rPr>
      <w:sz w:val="24"/>
      <w:szCs w:val="24"/>
    </w:rPr>
  </w:style>
  <w:style w:type="paragraph" w:styleId="MacroText">
    <w:name w:val="macro"/>
    <w:link w:val="MacroTextChar"/>
    <w:uiPriority w:val="99"/>
    <w:semiHidden/>
    <w:pPr>
      <w:tabs>
        <w:tab w:val="left" w:pos="567"/>
        <w:tab w:val="left" w:pos="1134"/>
        <w:tab w:val="left" w:pos="1701"/>
        <w:tab w:val="left" w:pos="2268"/>
        <w:tab w:val="left" w:pos="2835"/>
        <w:tab w:val="left" w:pos="3402"/>
        <w:tab w:val="left" w:pos="3969"/>
        <w:tab w:val="left" w:pos="4536"/>
        <w:tab w:val="left" w:pos="5103"/>
        <w:tab w:val="left" w:pos="5670"/>
      </w:tabs>
      <w:spacing w:after="60" w:line="240" w:lineRule="auto"/>
    </w:pPr>
    <w:rPr>
      <w:rFonts w:ascii="Arial" w:hAnsi="Arial" w:cs="Arial"/>
      <w:kern w:val="16"/>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NormalIndent">
    <w:name w:val="Normal Indent"/>
    <w:basedOn w:val="Normal"/>
    <w:uiPriority w:val="99"/>
    <w:pPr>
      <w:ind w:left="720"/>
    </w:pPr>
  </w:style>
  <w:style w:type="paragraph" w:customStyle="1" w:styleId="SinglePara">
    <w:name w:val="Single Para"/>
    <w:basedOn w:val="Normal"/>
    <w:uiPriority w:val="99"/>
    <w:pPr>
      <w:spacing w:after="0"/>
    </w:pPr>
  </w:style>
  <w:style w:type="paragraph" w:customStyle="1" w:styleId="Area">
    <w:name w:val="Area"/>
    <w:basedOn w:val="Normal"/>
    <w:uiPriority w:val="99"/>
    <w:pPr>
      <w:jc w:val="center"/>
    </w:pPr>
    <w:rPr>
      <w:b/>
      <w:bCs/>
      <w:caps/>
      <w:sz w:val="28"/>
      <w:szCs w:val="28"/>
    </w:rPr>
  </w:style>
  <w:style w:type="paragraph" w:customStyle="1" w:styleId="Name">
    <w:name w:val="Name"/>
    <w:basedOn w:val="Normal"/>
    <w:uiPriority w:val="99"/>
    <w:pPr>
      <w:spacing w:after="60"/>
      <w:jc w:val="center"/>
    </w:pPr>
    <w:rPr>
      <w:b/>
      <w:bCs/>
      <w:sz w:val="32"/>
      <w:szCs w:val="32"/>
    </w:rPr>
  </w:style>
  <w:style w:type="paragraph" w:customStyle="1" w:styleId="NameSmall">
    <w:name w:val="NameSmall"/>
    <w:basedOn w:val="Normal"/>
    <w:uiPriority w:val="99"/>
    <w:pPr>
      <w:spacing w:after="60"/>
      <w:jc w:val="center"/>
    </w:pPr>
    <w:rPr>
      <w:b/>
      <w:bCs/>
    </w:rPr>
  </w:style>
  <w:style w:type="paragraph" w:customStyle="1" w:styleId="URL">
    <w:name w:val="URL"/>
    <w:basedOn w:val="Normal"/>
    <w:uiPriority w:val="99"/>
    <w:pPr>
      <w:spacing w:after="120"/>
      <w:jc w:val="right"/>
    </w:pPr>
    <w:rPr>
      <w:b/>
      <w:bCs/>
      <w:sz w:val="16"/>
      <w:szCs w:val="16"/>
    </w:rPr>
  </w:style>
  <w:style w:type="paragraph" w:customStyle="1" w:styleId="ParliamentHouse">
    <w:name w:val="Parliament House"/>
    <w:basedOn w:val="URL"/>
    <w:uiPriority w:val="99"/>
    <w:rPr>
      <w:caps/>
    </w:rPr>
  </w:style>
  <w:style w:type="paragraph" w:customStyle="1" w:styleId="Contact">
    <w:name w:val="Contact"/>
    <w:basedOn w:val="URL"/>
    <w:uiPriority w:val="99"/>
  </w:style>
  <w:style w:type="paragraph" w:customStyle="1" w:styleId="docType">
    <w:name w:val="docType"/>
    <w:basedOn w:val="Area"/>
    <w:uiPriority w:val="99"/>
    <w:pPr>
      <w:spacing w:after="120"/>
    </w:pPr>
    <w:rPr>
      <w:sz w:val="32"/>
      <w:szCs w:val="32"/>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line="312" w:lineRule="atLeast"/>
    </w:pPr>
  </w:style>
  <w:style w:type="character" w:styleId="Strong">
    <w:name w:val="Strong"/>
    <w:basedOn w:val="DefaultParagraphFont"/>
    <w:uiPriority w:val="99"/>
    <w:qFormat/>
    <w:rPr>
      <w:rFonts w:cs="Times New Roman"/>
      <w:b/>
      <w:bCs/>
    </w:rPr>
  </w:style>
  <w:style w:type="paragraph" w:customStyle="1" w:styleId="SingleParagraph">
    <w:name w:val="Single Paragraph"/>
    <w:basedOn w:val="Normal"/>
    <w:uiPriority w:val="99"/>
    <w:pPr>
      <w:spacing w:after="0"/>
    </w:pPr>
  </w:style>
  <w:style w:type="paragraph" w:customStyle="1" w:styleId="Bullet">
    <w:name w:val="Bullet"/>
    <w:basedOn w:val="Normal"/>
    <w:uiPriority w:val="99"/>
    <w:pPr>
      <w:numPr>
        <w:numId w:val="4"/>
      </w:numPr>
    </w:pPr>
  </w:style>
  <w:style w:type="paragraph" w:customStyle="1" w:styleId="Dash">
    <w:name w:val="Dash"/>
    <w:basedOn w:val="Normal"/>
    <w:uiPriority w:val="99"/>
    <w:pPr>
      <w:numPr>
        <w:ilvl w:val="1"/>
        <w:numId w:val="4"/>
      </w:numPr>
    </w:pPr>
  </w:style>
  <w:style w:type="paragraph" w:customStyle="1" w:styleId="DoubleDot">
    <w:name w:val="Double Dot"/>
    <w:basedOn w:val="Normal"/>
    <w:uiPriority w:val="99"/>
    <w:pPr>
      <w:numPr>
        <w:ilvl w:val="2"/>
        <w:numId w:val="4"/>
      </w:numPr>
    </w:pPr>
  </w:style>
  <w:style w:type="paragraph" w:customStyle="1" w:styleId="SingleParaIndent">
    <w:name w:val="Single Para Indent"/>
    <w:basedOn w:val="SinglePara"/>
    <w:uiPriority w:val="99"/>
    <w:pPr>
      <w:ind w:left="567"/>
    </w:pPr>
    <w:rPr>
      <w:lang w:eastAsia="en-US"/>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46838">
      <w:marLeft w:val="0"/>
      <w:marRight w:val="0"/>
      <w:marTop w:val="0"/>
      <w:marBottom w:val="0"/>
      <w:divBdr>
        <w:top w:val="none" w:sz="0" w:space="0" w:color="auto"/>
        <w:left w:val="none" w:sz="0" w:space="0" w:color="auto"/>
        <w:bottom w:val="none" w:sz="0" w:space="0" w:color="auto"/>
        <w:right w:val="none" w:sz="0" w:space="0" w:color="auto"/>
      </w:divBdr>
      <w:divsChild>
        <w:div w:id="1326546851">
          <w:marLeft w:val="0"/>
          <w:marRight w:val="0"/>
          <w:marTop w:val="0"/>
          <w:marBottom w:val="0"/>
          <w:divBdr>
            <w:top w:val="none" w:sz="0" w:space="0" w:color="auto"/>
            <w:left w:val="none" w:sz="0" w:space="0" w:color="auto"/>
            <w:bottom w:val="none" w:sz="0" w:space="0" w:color="auto"/>
            <w:right w:val="none" w:sz="0" w:space="0" w:color="auto"/>
          </w:divBdr>
        </w:div>
      </w:divsChild>
    </w:div>
    <w:div w:id="1326546839">
      <w:marLeft w:val="0"/>
      <w:marRight w:val="0"/>
      <w:marTop w:val="0"/>
      <w:marBottom w:val="0"/>
      <w:divBdr>
        <w:top w:val="none" w:sz="0" w:space="0" w:color="auto"/>
        <w:left w:val="none" w:sz="0" w:space="0" w:color="auto"/>
        <w:bottom w:val="none" w:sz="0" w:space="0" w:color="auto"/>
        <w:right w:val="none" w:sz="0" w:space="0" w:color="auto"/>
      </w:divBdr>
      <w:divsChild>
        <w:div w:id="1326546843">
          <w:marLeft w:val="0"/>
          <w:marRight w:val="0"/>
          <w:marTop w:val="0"/>
          <w:marBottom w:val="0"/>
          <w:divBdr>
            <w:top w:val="none" w:sz="0" w:space="0" w:color="auto"/>
            <w:left w:val="none" w:sz="0" w:space="0" w:color="auto"/>
            <w:bottom w:val="none" w:sz="0" w:space="0" w:color="auto"/>
            <w:right w:val="none" w:sz="0" w:space="0" w:color="auto"/>
          </w:divBdr>
        </w:div>
      </w:divsChild>
    </w:div>
    <w:div w:id="1326546840">
      <w:marLeft w:val="0"/>
      <w:marRight w:val="0"/>
      <w:marTop w:val="0"/>
      <w:marBottom w:val="0"/>
      <w:divBdr>
        <w:top w:val="none" w:sz="0" w:space="0" w:color="auto"/>
        <w:left w:val="none" w:sz="0" w:space="0" w:color="auto"/>
        <w:bottom w:val="none" w:sz="0" w:space="0" w:color="auto"/>
        <w:right w:val="none" w:sz="0" w:space="0" w:color="auto"/>
      </w:divBdr>
      <w:divsChild>
        <w:div w:id="1326546845">
          <w:marLeft w:val="0"/>
          <w:marRight w:val="0"/>
          <w:marTop w:val="0"/>
          <w:marBottom w:val="0"/>
          <w:divBdr>
            <w:top w:val="none" w:sz="0" w:space="0" w:color="auto"/>
            <w:left w:val="none" w:sz="0" w:space="0" w:color="auto"/>
            <w:bottom w:val="none" w:sz="0" w:space="0" w:color="auto"/>
            <w:right w:val="none" w:sz="0" w:space="0" w:color="auto"/>
          </w:divBdr>
        </w:div>
      </w:divsChild>
    </w:div>
    <w:div w:id="1326546841">
      <w:marLeft w:val="0"/>
      <w:marRight w:val="0"/>
      <w:marTop w:val="0"/>
      <w:marBottom w:val="0"/>
      <w:divBdr>
        <w:top w:val="none" w:sz="0" w:space="0" w:color="auto"/>
        <w:left w:val="none" w:sz="0" w:space="0" w:color="auto"/>
        <w:bottom w:val="none" w:sz="0" w:space="0" w:color="auto"/>
        <w:right w:val="none" w:sz="0" w:space="0" w:color="auto"/>
      </w:divBdr>
      <w:divsChild>
        <w:div w:id="1326546850">
          <w:marLeft w:val="0"/>
          <w:marRight w:val="0"/>
          <w:marTop w:val="0"/>
          <w:marBottom w:val="0"/>
          <w:divBdr>
            <w:top w:val="none" w:sz="0" w:space="0" w:color="auto"/>
            <w:left w:val="none" w:sz="0" w:space="0" w:color="auto"/>
            <w:bottom w:val="none" w:sz="0" w:space="0" w:color="auto"/>
            <w:right w:val="none" w:sz="0" w:space="0" w:color="auto"/>
          </w:divBdr>
        </w:div>
      </w:divsChild>
    </w:div>
    <w:div w:id="1326546842">
      <w:marLeft w:val="0"/>
      <w:marRight w:val="0"/>
      <w:marTop w:val="0"/>
      <w:marBottom w:val="0"/>
      <w:divBdr>
        <w:top w:val="none" w:sz="0" w:space="0" w:color="auto"/>
        <w:left w:val="none" w:sz="0" w:space="0" w:color="auto"/>
        <w:bottom w:val="none" w:sz="0" w:space="0" w:color="auto"/>
        <w:right w:val="none" w:sz="0" w:space="0" w:color="auto"/>
      </w:divBdr>
      <w:divsChild>
        <w:div w:id="1326546844">
          <w:marLeft w:val="0"/>
          <w:marRight w:val="0"/>
          <w:marTop w:val="0"/>
          <w:marBottom w:val="0"/>
          <w:divBdr>
            <w:top w:val="none" w:sz="0" w:space="0" w:color="auto"/>
            <w:left w:val="none" w:sz="0" w:space="0" w:color="auto"/>
            <w:bottom w:val="none" w:sz="0" w:space="0" w:color="auto"/>
            <w:right w:val="none" w:sz="0" w:space="0" w:color="auto"/>
          </w:divBdr>
        </w:div>
      </w:divsChild>
    </w:div>
    <w:div w:id="1326546846">
      <w:marLeft w:val="0"/>
      <w:marRight w:val="0"/>
      <w:marTop w:val="0"/>
      <w:marBottom w:val="0"/>
      <w:divBdr>
        <w:top w:val="none" w:sz="0" w:space="0" w:color="auto"/>
        <w:left w:val="none" w:sz="0" w:space="0" w:color="auto"/>
        <w:bottom w:val="none" w:sz="0" w:space="0" w:color="auto"/>
        <w:right w:val="none" w:sz="0" w:space="0" w:color="auto"/>
      </w:divBdr>
      <w:divsChild>
        <w:div w:id="1326546849">
          <w:marLeft w:val="0"/>
          <w:marRight w:val="0"/>
          <w:marTop w:val="0"/>
          <w:marBottom w:val="0"/>
          <w:divBdr>
            <w:top w:val="none" w:sz="0" w:space="0" w:color="auto"/>
            <w:left w:val="none" w:sz="0" w:space="0" w:color="auto"/>
            <w:bottom w:val="none" w:sz="0" w:space="0" w:color="auto"/>
            <w:right w:val="none" w:sz="0" w:space="0" w:color="auto"/>
          </w:divBdr>
        </w:div>
      </w:divsChild>
    </w:div>
    <w:div w:id="1326546847">
      <w:marLeft w:val="0"/>
      <w:marRight w:val="0"/>
      <w:marTop w:val="0"/>
      <w:marBottom w:val="0"/>
      <w:divBdr>
        <w:top w:val="none" w:sz="0" w:space="0" w:color="auto"/>
        <w:left w:val="none" w:sz="0" w:space="0" w:color="auto"/>
        <w:bottom w:val="none" w:sz="0" w:space="0" w:color="auto"/>
        <w:right w:val="none" w:sz="0" w:space="0" w:color="auto"/>
      </w:divBdr>
      <w:divsChild>
        <w:div w:id="1326546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header" Target="header4.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inisterial\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 Release.dot</Template>
  <TotalTime>1</TotalTime>
  <Pages>12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Attachment A: Statement of Estimated Payments to the States and Territories provided to the Ministerial Council for Commonwealth-State Financial Relations</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Statement of Estimated Payments to the States and Territories provided to the Ministerial Council for Commonwealth-State Financial Relations</dc:title>
  <dc:subject/>
  <dc:creator>Moore, Ben</dc:creator>
  <cp:keywords/>
  <dc:description/>
  <cp:lastModifiedBy>Moore, Ben</cp:lastModifiedBy>
  <cp:revision>2</cp:revision>
  <cp:lastPrinted>2005-03-23T04:39:00Z</cp:lastPrinted>
  <dcterms:created xsi:type="dcterms:W3CDTF">2020-01-31T06:00:00Z</dcterms:created>
  <dcterms:modified xsi:type="dcterms:W3CDTF">2020-01-31T06:00:00Z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2016372376</vt:i4>
  </property>
  <property fmtid="{D5CDD505-2E9C-101B-9397-08002B2CF9AE}" pid="3" name="_EmailSubject">
    <vt:lpwstr>Press Release for 2005 Minco</vt:lpwstr>
  </property>
  <property fmtid="{D5CDD505-2E9C-101B-9397-08002B2CF9AE}" pid="4" name="_AuthorEmail">
    <vt:lpwstr>KCook@TREASURY.GOV.AU</vt:lpwstr>
  </property>
  <property fmtid="{D5CDD505-2E9C-101B-9397-08002B2CF9AE}" pid="5" name="_AuthorEmailDisplayName">
    <vt:lpwstr>Cook, Katherine</vt:lpwstr>
  </property>
  <property fmtid="{D5CDD505-2E9C-101B-9397-08002B2CF9AE}" pid="6" name="_PreviousAdHocReviewCycleID">
    <vt:i4>-877260926</vt:i4>
  </property>
  <property fmtid="{D5CDD505-2E9C-101B-9397-08002B2CF9AE}" pid="7" name="_ReviewingToolsShownOnce">
    <vt:lpwstr/>
  </property>
</Properties>
</file>